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31" w:rsidRPr="00674731" w:rsidRDefault="00674731" w:rsidP="00674731">
      <w:pPr>
        <w:spacing w:after="0"/>
        <w:rPr>
          <w:rFonts w:asciiTheme="majorHAnsi" w:hAnsiTheme="majorHAnsi"/>
          <w:b/>
          <w:sz w:val="32"/>
        </w:rPr>
      </w:pPr>
      <w:r w:rsidRPr="00674731">
        <w:rPr>
          <w:rFonts w:asciiTheme="majorHAnsi" w:hAnsiTheme="majorHAnsi"/>
          <w:b/>
          <w:sz w:val="32"/>
        </w:rPr>
        <w:t>Probleme beim Übergang vom Erwerbsleben in den Ruhestand</w:t>
      </w:r>
    </w:p>
    <w:p w:rsidR="009E6C11" w:rsidRPr="00674731" w:rsidRDefault="009E6C11" w:rsidP="00A112C7">
      <w:pPr>
        <w:spacing w:after="240"/>
        <w:rPr>
          <w:rFonts w:asciiTheme="majorHAnsi" w:hAnsiTheme="majorHAnsi"/>
          <w:sz w:val="28"/>
        </w:rPr>
      </w:pPr>
      <w:r w:rsidRPr="00674731">
        <w:rPr>
          <w:rFonts w:asciiTheme="majorHAnsi" w:hAnsiTheme="majorHAnsi"/>
          <w:sz w:val="28"/>
        </w:rPr>
        <w:t>Auswertung der Kleinen Anfrage „Probleme beim Übergang vom Erwerbsleben in die Ruhestand. Fragen zum Dritten Bericht der Bundesregierung zur Anhebung der Regelaltersgrenze auf 67 Jahre</w:t>
      </w:r>
      <w:r w:rsidR="00F65EC8" w:rsidRPr="00674731">
        <w:rPr>
          <w:rFonts w:asciiTheme="majorHAnsi" w:hAnsiTheme="majorHAnsi"/>
          <w:sz w:val="28"/>
        </w:rPr>
        <w:t>“</w:t>
      </w:r>
      <w:r w:rsidRPr="00674731">
        <w:rPr>
          <w:rFonts w:asciiTheme="majorHAnsi" w:hAnsiTheme="majorHAnsi"/>
          <w:sz w:val="28"/>
        </w:rPr>
        <w:t xml:space="preserve"> (BT-Drs. 19/6750)</w:t>
      </w:r>
    </w:p>
    <w:p w:rsidR="00654524" w:rsidRDefault="00F65EC8">
      <w:pPr>
        <w:rPr>
          <w:rFonts w:asciiTheme="majorHAnsi" w:hAnsiTheme="majorHAnsi"/>
          <w:sz w:val="24"/>
          <w:szCs w:val="24"/>
        </w:rPr>
      </w:pPr>
      <w:r>
        <w:rPr>
          <w:rFonts w:asciiTheme="majorHAnsi" w:hAnsiTheme="majorHAnsi"/>
          <w:sz w:val="24"/>
          <w:szCs w:val="24"/>
        </w:rPr>
        <w:t xml:space="preserve">Die Bundesregierung hat jüngst ihren Bericht zur Anhebung der rentenrechtlichen Regelaltersgrenze auf 67 Jahre vorgelegt und ist damit ihrer gesetzlichen Pflicht nachgekommen, </w:t>
      </w:r>
      <w:r w:rsidR="00480106">
        <w:rPr>
          <w:rFonts w:asciiTheme="majorHAnsi" w:hAnsiTheme="majorHAnsi"/>
          <w:sz w:val="24"/>
          <w:szCs w:val="24"/>
        </w:rPr>
        <w:t xml:space="preserve">im Vierjahresrhythmus </w:t>
      </w:r>
      <w:r>
        <w:rPr>
          <w:rFonts w:asciiTheme="majorHAnsi" w:hAnsiTheme="majorHAnsi"/>
          <w:sz w:val="24"/>
          <w:szCs w:val="24"/>
        </w:rPr>
        <w:t xml:space="preserve">zu </w:t>
      </w:r>
      <w:r w:rsidR="00654028">
        <w:rPr>
          <w:rFonts w:asciiTheme="majorHAnsi" w:hAnsiTheme="majorHAnsi"/>
          <w:sz w:val="24"/>
          <w:szCs w:val="24"/>
        </w:rPr>
        <w:t>überprüfen</w:t>
      </w:r>
      <w:r>
        <w:rPr>
          <w:rFonts w:asciiTheme="majorHAnsi" w:hAnsiTheme="majorHAnsi"/>
          <w:sz w:val="24"/>
          <w:szCs w:val="24"/>
        </w:rPr>
        <w:t>, ob diese weiterhin vertretbar ist.</w:t>
      </w:r>
      <w:r w:rsidR="00B80FB8">
        <w:rPr>
          <w:rStyle w:val="Funotenzeichen"/>
          <w:rFonts w:asciiTheme="majorHAnsi" w:hAnsiTheme="majorHAnsi"/>
          <w:sz w:val="24"/>
          <w:szCs w:val="24"/>
        </w:rPr>
        <w:footnoteReference w:id="1"/>
      </w:r>
      <w:r>
        <w:rPr>
          <w:rFonts w:asciiTheme="majorHAnsi" w:hAnsiTheme="majorHAnsi"/>
          <w:sz w:val="24"/>
          <w:szCs w:val="24"/>
        </w:rPr>
        <w:t xml:space="preserve"> </w:t>
      </w:r>
    </w:p>
    <w:p w:rsidR="00FD749F" w:rsidRDefault="00654028" w:rsidP="00E46B39">
      <w:pPr>
        <w:spacing w:after="240"/>
        <w:rPr>
          <w:rFonts w:asciiTheme="majorHAnsi" w:hAnsiTheme="majorHAnsi"/>
          <w:sz w:val="24"/>
          <w:szCs w:val="24"/>
        </w:rPr>
      </w:pPr>
      <w:r>
        <w:rPr>
          <w:rFonts w:asciiTheme="majorHAnsi" w:hAnsiTheme="majorHAnsi"/>
          <w:sz w:val="24"/>
          <w:szCs w:val="24"/>
        </w:rPr>
        <w:t>Bundesarbeitsminister Hubertus Heil zeichnete in seiner Pressemitteilung ein rein positives Bild der Beschäftigungssituation von Älteren.</w:t>
      </w:r>
      <w:r w:rsidR="00B24136">
        <w:rPr>
          <w:rFonts w:asciiTheme="majorHAnsi" w:hAnsiTheme="majorHAnsi"/>
          <w:sz w:val="24"/>
          <w:szCs w:val="24"/>
        </w:rPr>
        <w:t xml:space="preserve"> In ihrer Antwort auf unsere Kleine Anfrage spricht die Bundesregierung </w:t>
      </w:r>
      <w:r w:rsidR="00EB3198">
        <w:rPr>
          <w:rFonts w:asciiTheme="majorHAnsi" w:hAnsiTheme="majorHAnsi"/>
          <w:sz w:val="24"/>
          <w:szCs w:val="24"/>
        </w:rPr>
        <w:t xml:space="preserve">gar </w:t>
      </w:r>
      <w:r w:rsidR="00B24136">
        <w:rPr>
          <w:rFonts w:asciiTheme="majorHAnsi" w:hAnsiTheme="majorHAnsi"/>
          <w:sz w:val="24"/>
          <w:szCs w:val="24"/>
        </w:rPr>
        <w:t>von einer „beeindruckenden Entwicklung der Erwerbsbeteiligung rentennaher Jahrgänge</w:t>
      </w:r>
      <w:r w:rsidR="00957FCA">
        <w:rPr>
          <w:rFonts w:asciiTheme="majorHAnsi" w:hAnsiTheme="majorHAnsi"/>
          <w:sz w:val="24"/>
          <w:szCs w:val="24"/>
        </w:rPr>
        <w:t>.</w:t>
      </w:r>
      <w:r w:rsidR="00E62F18">
        <w:rPr>
          <w:rFonts w:asciiTheme="majorHAnsi" w:hAnsiTheme="majorHAnsi"/>
          <w:sz w:val="24"/>
          <w:szCs w:val="24"/>
        </w:rPr>
        <w:t>“</w:t>
      </w:r>
      <w:r>
        <w:rPr>
          <w:rFonts w:asciiTheme="majorHAnsi" w:hAnsiTheme="majorHAnsi"/>
          <w:sz w:val="24"/>
          <w:szCs w:val="24"/>
        </w:rPr>
        <w:t xml:space="preserve"> Auch d</w:t>
      </w:r>
      <w:r w:rsidR="00397538">
        <w:rPr>
          <w:rFonts w:asciiTheme="majorHAnsi" w:hAnsiTheme="majorHAnsi"/>
          <w:sz w:val="24"/>
          <w:szCs w:val="24"/>
        </w:rPr>
        <w:t>er Rente-mit-67-</w:t>
      </w:r>
      <w:r>
        <w:rPr>
          <w:rFonts w:asciiTheme="majorHAnsi" w:hAnsiTheme="majorHAnsi"/>
          <w:sz w:val="24"/>
          <w:szCs w:val="24"/>
        </w:rPr>
        <w:t>Bericht</w:t>
      </w:r>
      <w:r w:rsidR="00957FCA">
        <w:rPr>
          <w:rFonts w:asciiTheme="majorHAnsi" w:hAnsiTheme="majorHAnsi"/>
          <w:sz w:val="24"/>
          <w:szCs w:val="24"/>
        </w:rPr>
        <w:t xml:space="preserve"> selbst</w:t>
      </w:r>
      <w:r w:rsidR="00EB3198">
        <w:rPr>
          <w:rFonts w:asciiTheme="majorHAnsi" w:hAnsiTheme="majorHAnsi"/>
          <w:sz w:val="24"/>
          <w:szCs w:val="24"/>
        </w:rPr>
        <w:t xml:space="preserve"> blendet problematische Aspekte de</w:t>
      </w:r>
      <w:r w:rsidR="0048735D">
        <w:rPr>
          <w:rFonts w:asciiTheme="majorHAnsi" w:hAnsiTheme="majorHAnsi"/>
          <w:sz w:val="24"/>
          <w:szCs w:val="24"/>
        </w:rPr>
        <w:t xml:space="preserve">s Rentenübergangs </w:t>
      </w:r>
      <w:r w:rsidR="002B17BD">
        <w:rPr>
          <w:rFonts w:asciiTheme="majorHAnsi" w:hAnsiTheme="majorHAnsi"/>
          <w:sz w:val="24"/>
          <w:szCs w:val="24"/>
        </w:rPr>
        <w:t xml:space="preserve">in Teilen </w:t>
      </w:r>
      <w:r w:rsidR="0048735D">
        <w:rPr>
          <w:rFonts w:asciiTheme="majorHAnsi" w:hAnsiTheme="majorHAnsi"/>
          <w:sz w:val="24"/>
          <w:szCs w:val="24"/>
        </w:rPr>
        <w:t>aus.</w:t>
      </w:r>
    </w:p>
    <w:p w:rsidR="00F02D47" w:rsidRDefault="000D1A80" w:rsidP="00E46B39">
      <w:pPr>
        <w:spacing w:after="240"/>
        <w:rPr>
          <w:rFonts w:asciiTheme="majorHAnsi" w:hAnsiTheme="majorHAnsi"/>
          <w:sz w:val="24"/>
          <w:szCs w:val="24"/>
        </w:rPr>
      </w:pPr>
      <w:r>
        <w:rPr>
          <w:rFonts w:asciiTheme="majorHAnsi" w:hAnsiTheme="majorHAnsi"/>
          <w:sz w:val="24"/>
          <w:szCs w:val="24"/>
        </w:rPr>
        <w:t>Da</w:t>
      </w:r>
      <w:r w:rsidR="00573C16">
        <w:rPr>
          <w:rFonts w:asciiTheme="majorHAnsi" w:hAnsiTheme="majorHAnsi"/>
          <w:sz w:val="24"/>
          <w:szCs w:val="24"/>
        </w:rPr>
        <w:t xml:space="preserve"> gerade die letzten Jahre vor der Rente entscheidend</w:t>
      </w:r>
      <w:r>
        <w:rPr>
          <w:rFonts w:asciiTheme="majorHAnsi" w:hAnsiTheme="majorHAnsi"/>
          <w:sz w:val="24"/>
          <w:szCs w:val="24"/>
        </w:rPr>
        <w:t xml:space="preserve"> sind</w:t>
      </w:r>
      <w:r w:rsidR="00573C16">
        <w:rPr>
          <w:rFonts w:asciiTheme="majorHAnsi" w:hAnsiTheme="majorHAnsi"/>
          <w:sz w:val="24"/>
          <w:szCs w:val="24"/>
        </w:rPr>
        <w:t>, um ein auskömmliche</w:t>
      </w:r>
      <w:r>
        <w:rPr>
          <w:rFonts w:asciiTheme="majorHAnsi" w:hAnsiTheme="majorHAnsi"/>
          <w:sz w:val="24"/>
          <w:szCs w:val="24"/>
        </w:rPr>
        <w:t xml:space="preserve">s Alterseinkommen zu erreichen, </w:t>
      </w:r>
      <w:r w:rsidR="00957FCA">
        <w:rPr>
          <w:rFonts w:asciiTheme="majorHAnsi" w:hAnsiTheme="majorHAnsi"/>
          <w:sz w:val="24"/>
          <w:szCs w:val="24"/>
        </w:rPr>
        <w:t>lohnt sich</w:t>
      </w:r>
      <w:r w:rsidR="003A1888">
        <w:rPr>
          <w:rFonts w:asciiTheme="majorHAnsi" w:hAnsiTheme="majorHAnsi"/>
          <w:sz w:val="24"/>
          <w:szCs w:val="24"/>
        </w:rPr>
        <w:t xml:space="preserve"> allerdings</w:t>
      </w:r>
      <w:r w:rsidR="00957FCA">
        <w:rPr>
          <w:rFonts w:asciiTheme="majorHAnsi" w:hAnsiTheme="majorHAnsi"/>
          <w:sz w:val="24"/>
          <w:szCs w:val="24"/>
        </w:rPr>
        <w:t xml:space="preserve"> ein Blick hinter die Kulissen der bislang bekannten </w:t>
      </w:r>
      <w:r w:rsidR="00384D95">
        <w:rPr>
          <w:rFonts w:asciiTheme="majorHAnsi" w:hAnsiTheme="majorHAnsi"/>
          <w:sz w:val="24"/>
          <w:szCs w:val="24"/>
        </w:rPr>
        <w:t xml:space="preserve">und diskutierten </w:t>
      </w:r>
      <w:r w:rsidR="00957FCA">
        <w:rPr>
          <w:rFonts w:asciiTheme="majorHAnsi" w:hAnsiTheme="majorHAnsi"/>
          <w:sz w:val="24"/>
          <w:szCs w:val="24"/>
        </w:rPr>
        <w:t>Zahlen</w:t>
      </w:r>
      <w:r w:rsidR="00EA3CA7">
        <w:rPr>
          <w:rFonts w:asciiTheme="majorHAnsi" w:hAnsiTheme="majorHAnsi"/>
          <w:sz w:val="24"/>
          <w:szCs w:val="24"/>
        </w:rPr>
        <w:t xml:space="preserve"> </w:t>
      </w:r>
      <w:r w:rsidR="00BD35EC">
        <w:rPr>
          <w:rFonts w:asciiTheme="majorHAnsi" w:hAnsiTheme="majorHAnsi"/>
          <w:sz w:val="24"/>
          <w:szCs w:val="24"/>
        </w:rPr>
        <w:t xml:space="preserve">und </w:t>
      </w:r>
      <w:r w:rsidR="00EA3CA7">
        <w:rPr>
          <w:rFonts w:asciiTheme="majorHAnsi" w:hAnsiTheme="majorHAnsi"/>
          <w:sz w:val="24"/>
          <w:szCs w:val="24"/>
        </w:rPr>
        <w:t>auf die Probleme, die mit der Anhebung der Regelaltersgrenze</w:t>
      </w:r>
      <w:r w:rsidR="00456877">
        <w:rPr>
          <w:rFonts w:asciiTheme="majorHAnsi" w:hAnsiTheme="majorHAnsi"/>
          <w:sz w:val="24"/>
          <w:szCs w:val="24"/>
        </w:rPr>
        <w:t xml:space="preserve"> für viele Menschen</w:t>
      </w:r>
      <w:r w:rsidR="00EA3CA7">
        <w:rPr>
          <w:rFonts w:asciiTheme="majorHAnsi" w:hAnsiTheme="majorHAnsi"/>
          <w:sz w:val="24"/>
          <w:szCs w:val="24"/>
        </w:rPr>
        <w:t xml:space="preserve"> einhergehen.</w:t>
      </w:r>
      <w:r w:rsidR="00280A5C">
        <w:rPr>
          <w:rFonts w:asciiTheme="majorHAnsi" w:hAnsiTheme="majorHAnsi"/>
          <w:sz w:val="24"/>
          <w:szCs w:val="24"/>
        </w:rPr>
        <w:t xml:space="preserve"> </w:t>
      </w:r>
      <w:r w:rsidR="00626D22">
        <w:rPr>
          <w:rFonts w:asciiTheme="majorHAnsi" w:hAnsiTheme="majorHAnsi"/>
          <w:sz w:val="24"/>
          <w:szCs w:val="24"/>
        </w:rPr>
        <w:t xml:space="preserve">Wir haben deshalb im Rahmen einer Kleinen Anfrage nachgefragt, um </w:t>
      </w:r>
      <w:r w:rsidR="00770D97">
        <w:rPr>
          <w:rFonts w:asciiTheme="majorHAnsi" w:hAnsiTheme="majorHAnsi"/>
          <w:sz w:val="24"/>
          <w:szCs w:val="24"/>
        </w:rPr>
        <w:t xml:space="preserve">die Dunkelbereiche des Übergangs vom Erwerbsleben in den Ruhestand zu beleuchten und </w:t>
      </w:r>
      <w:r w:rsidR="00626D22">
        <w:rPr>
          <w:rFonts w:asciiTheme="majorHAnsi" w:hAnsiTheme="majorHAnsi"/>
          <w:sz w:val="24"/>
          <w:szCs w:val="24"/>
        </w:rPr>
        <w:t xml:space="preserve">die Situation der älteren Beschäftigten differenzierter bewerten zu können. </w:t>
      </w:r>
    </w:p>
    <w:p w:rsidR="00F65EC8" w:rsidRDefault="00626D22" w:rsidP="00E46B39">
      <w:pPr>
        <w:spacing w:after="240"/>
        <w:rPr>
          <w:rFonts w:asciiTheme="majorHAnsi" w:hAnsiTheme="majorHAnsi"/>
          <w:sz w:val="24"/>
          <w:szCs w:val="24"/>
        </w:rPr>
      </w:pPr>
      <w:r>
        <w:rPr>
          <w:rFonts w:asciiTheme="majorHAnsi" w:hAnsiTheme="majorHAnsi"/>
          <w:sz w:val="24"/>
          <w:szCs w:val="24"/>
        </w:rPr>
        <w:t>Die Antwort der Bundesregierung enthält umfangreiches Zahlenmaterial auf der Grundlage zahlreicher Sonde</w:t>
      </w:r>
      <w:r w:rsidR="00E46B39">
        <w:rPr>
          <w:rFonts w:asciiTheme="majorHAnsi" w:hAnsiTheme="majorHAnsi"/>
          <w:sz w:val="24"/>
          <w:szCs w:val="24"/>
        </w:rPr>
        <w:t>rauswertungen.</w:t>
      </w:r>
      <w:r w:rsidR="00DB34FF">
        <w:rPr>
          <w:rFonts w:asciiTheme="majorHAnsi" w:hAnsiTheme="majorHAnsi"/>
          <w:sz w:val="24"/>
          <w:szCs w:val="24"/>
        </w:rPr>
        <w:t xml:space="preserve"> </w:t>
      </w:r>
      <w:r w:rsidR="00E123CA">
        <w:rPr>
          <w:rFonts w:asciiTheme="majorHAnsi" w:hAnsiTheme="majorHAnsi"/>
          <w:sz w:val="24"/>
          <w:szCs w:val="24"/>
        </w:rPr>
        <w:t xml:space="preserve">Mit dieser </w:t>
      </w:r>
      <w:r w:rsidR="00F02D47">
        <w:rPr>
          <w:rFonts w:asciiTheme="majorHAnsi" w:hAnsiTheme="majorHAnsi"/>
          <w:sz w:val="24"/>
          <w:szCs w:val="24"/>
        </w:rPr>
        <w:t>Zusammenfassung der Ergebnis</w:t>
      </w:r>
      <w:r w:rsidR="00E123CA">
        <w:rPr>
          <w:rFonts w:asciiTheme="majorHAnsi" w:hAnsiTheme="majorHAnsi"/>
          <w:sz w:val="24"/>
          <w:szCs w:val="24"/>
        </w:rPr>
        <w:t>se der Kleinen Anfrage ordne ich</w:t>
      </w:r>
      <w:r w:rsidR="007D3AA9">
        <w:rPr>
          <w:rFonts w:asciiTheme="majorHAnsi" w:hAnsiTheme="majorHAnsi"/>
          <w:sz w:val="24"/>
          <w:szCs w:val="24"/>
        </w:rPr>
        <w:t xml:space="preserve"> die oft neuen Daten ein:</w:t>
      </w:r>
    </w:p>
    <w:p w:rsidR="007D5689" w:rsidRDefault="007D3AA9" w:rsidP="00E46B39">
      <w:pPr>
        <w:spacing w:after="240"/>
        <w:rPr>
          <w:rFonts w:asciiTheme="majorHAnsi" w:hAnsiTheme="majorHAnsi"/>
          <w:sz w:val="24"/>
          <w:szCs w:val="24"/>
        </w:rPr>
      </w:pPr>
      <w:r>
        <w:rPr>
          <w:rFonts w:asciiTheme="majorHAnsi" w:hAnsiTheme="majorHAnsi"/>
          <w:sz w:val="24"/>
          <w:szCs w:val="24"/>
        </w:rPr>
        <w:t xml:space="preserve">In der Tat nimmt die Zahl der sozialversicherungspflichtig Beschäftigten zwischen 55 und 65 Jahren zu. Dies kann aber nicht darüber hinwegtäuschen, dass es vielen Menschen in den vergangenen Jahren nicht gelungen ist, mit der Anhebung der Regelaltersgrenze Schritt zu halten. </w:t>
      </w:r>
      <w:r w:rsidR="00C202A3">
        <w:rPr>
          <w:rFonts w:asciiTheme="majorHAnsi" w:hAnsiTheme="majorHAnsi"/>
          <w:sz w:val="24"/>
          <w:szCs w:val="24"/>
        </w:rPr>
        <w:t xml:space="preserve">Denn nach wie vor ist der Anteil der sozialversicherungspflichtig Beschäftigten im rentennahen Alter </w:t>
      </w:r>
      <w:r w:rsidR="001B5FEB">
        <w:rPr>
          <w:rFonts w:asciiTheme="majorHAnsi" w:hAnsiTheme="majorHAnsi"/>
          <w:sz w:val="24"/>
          <w:szCs w:val="24"/>
        </w:rPr>
        <w:t xml:space="preserve">zu </w:t>
      </w:r>
      <w:r w:rsidR="00C202A3">
        <w:rPr>
          <w:rFonts w:asciiTheme="majorHAnsi" w:hAnsiTheme="majorHAnsi"/>
          <w:sz w:val="24"/>
          <w:szCs w:val="24"/>
        </w:rPr>
        <w:t>niedrig. Die Zahl der Minijobberinnen und Minijobber über 63 Jahre und der Anteil atypisch Beschäftigter haben in den letzten Jahren erheblich zugenommen, während die Zahl der in Vollzeit arbeitenden Älteren stagniert.</w:t>
      </w:r>
      <w:r w:rsidR="002B7728">
        <w:rPr>
          <w:rFonts w:asciiTheme="majorHAnsi" w:hAnsiTheme="majorHAnsi"/>
          <w:sz w:val="24"/>
          <w:szCs w:val="24"/>
        </w:rPr>
        <w:t xml:space="preserve"> Und Frauen kurz vor dem Rentenalter machen besonders in Ostdeutschland einen immer größeren Teil der Arbeitslosen aus. </w:t>
      </w:r>
    </w:p>
    <w:p w:rsidR="003933FE" w:rsidRDefault="00CB054E" w:rsidP="005C2902">
      <w:pPr>
        <w:spacing w:after="360"/>
        <w:rPr>
          <w:rFonts w:asciiTheme="majorHAnsi" w:hAnsiTheme="majorHAnsi"/>
          <w:sz w:val="24"/>
          <w:szCs w:val="24"/>
        </w:rPr>
      </w:pPr>
      <w:r>
        <w:rPr>
          <w:rFonts w:asciiTheme="majorHAnsi" w:hAnsiTheme="majorHAnsi"/>
          <w:sz w:val="24"/>
          <w:szCs w:val="24"/>
        </w:rPr>
        <w:t xml:space="preserve">Für die Akzeptanz der getroffenen Entscheidung, die Regelaltersgrenze anzuheben, ist es entscheidend, Lösungen für die vielfältigen Problemgruppen zu schaffen. </w:t>
      </w:r>
      <w:r w:rsidR="00154FAB">
        <w:rPr>
          <w:rFonts w:asciiTheme="majorHAnsi" w:hAnsiTheme="majorHAnsi"/>
          <w:sz w:val="24"/>
          <w:szCs w:val="24"/>
        </w:rPr>
        <w:t>Wir wollen deshalb die Teilrente attraktiver machen,</w:t>
      </w:r>
      <w:r w:rsidR="00297BF4">
        <w:rPr>
          <w:rFonts w:asciiTheme="majorHAnsi" w:hAnsiTheme="majorHAnsi"/>
          <w:sz w:val="24"/>
          <w:szCs w:val="24"/>
        </w:rPr>
        <w:t xml:space="preserve"> unter anderem</w:t>
      </w:r>
      <w:r w:rsidR="00154FAB">
        <w:rPr>
          <w:rFonts w:asciiTheme="majorHAnsi" w:hAnsiTheme="majorHAnsi"/>
          <w:sz w:val="24"/>
          <w:szCs w:val="24"/>
        </w:rPr>
        <w:t xml:space="preserve"> indem wir die Abschläge</w:t>
      </w:r>
      <w:r w:rsidR="00297BF4">
        <w:rPr>
          <w:rFonts w:asciiTheme="majorHAnsi" w:hAnsiTheme="majorHAnsi"/>
          <w:sz w:val="24"/>
          <w:szCs w:val="24"/>
        </w:rPr>
        <w:t xml:space="preserve"> für besonders belastete Beschäftigte</w:t>
      </w:r>
      <w:r w:rsidR="00154FAB">
        <w:rPr>
          <w:rFonts w:asciiTheme="majorHAnsi" w:hAnsiTheme="majorHAnsi"/>
          <w:sz w:val="24"/>
          <w:szCs w:val="24"/>
        </w:rPr>
        <w:t xml:space="preserve"> streichen. Die Möglichkeiten auch umfangreicher Weiterbildungen für Ältere sind zu erweitern. Die Erwerbsminderungsrente wollen wir stärken. </w:t>
      </w:r>
      <w:r w:rsidR="00154FAB">
        <w:rPr>
          <w:rFonts w:asciiTheme="majorHAnsi" w:hAnsiTheme="majorHAnsi"/>
          <w:sz w:val="24"/>
          <w:szCs w:val="24"/>
        </w:rPr>
        <w:lastRenderedPageBreak/>
        <w:t xml:space="preserve">Präventionsmaßnahmen müssen zum Standard werden und gemeinsam mit der Rehabilitation einen noch größeren Beitrag zum Erhalt der Beschäftigungsfähigkeit leisten. Zudem </w:t>
      </w:r>
      <w:r w:rsidR="001F7219">
        <w:rPr>
          <w:rFonts w:asciiTheme="majorHAnsi" w:hAnsiTheme="majorHAnsi"/>
          <w:sz w:val="24"/>
          <w:szCs w:val="24"/>
        </w:rPr>
        <w:t>braucht es dringend</w:t>
      </w:r>
      <w:r w:rsidR="002C6BB9">
        <w:rPr>
          <w:rFonts w:asciiTheme="majorHAnsi" w:hAnsiTheme="majorHAnsi"/>
          <w:sz w:val="24"/>
          <w:szCs w:val="24"/>
        </w:rPr>
        <w:t xml:space="preserve"> eine Analyse der spezifischen Belastungen einzelner Berufsgruppen, die die Bundesregierung </w:t>
      </w:r>
      <w:r w:rsidR="009A265F">
        <w:rPr>
          <w:rFonts w:asciiTheme="majorHAnsi" w:hAnsiTheme="majorHAnsi"/>
          <w:sz w:val="24"/>
          <w:szCs w:val="24"/>
        </w:rPr>
        <w:t>allerdings</w:t>
      </w:r>
      <w:r w:rsidR="002C6BB9">
        <w:rPr>
          <w:rFonts w:asciiTheme="majorHAnsi" w:hAnsiTheme="majorHAnsi"/>
          <w:sz w:val="24"/>
          <w:szCs w:val="24"/>
        </w:rPr>
        <w:t xml:space="preserve"> nicht vorsieht (</w:t>
      </w:r>
      <w:r w:rsidR="002C6BB9" w:rsidRPr="002C6BB9">
        <w:rPr>
          <w:rFonts w:asciiTheme="majorHAnsi" w:hAnsiTheme="majorHAnsi"/>
          <w:color w:val="FF0000"/>
          <w:sz w:val="24"/>
          <w:szCs w:val="24"/>
        </w:rPr>
        <w:t>Frage 23</w:t>
      </w:r>
      <w:r w:rsidR="00153FB7">
        <w:rPr>
          <w:rFonts w:asciiTheme="majorHAnsi" w:hAnsiTheme="majorHAnsi"/>
          <w:sz w:val="24"/>
          <w:szCs w:val="24"/>
        </w:rPr>
        <w:t xml:space="preserve">), obgleich bekannt ist, dass das </w:t>
      </w:r>
      <w:r w:rsidR="00BB1068">
        <w:rPr>
          <w:rFonts w:asciiTheme="majorHAnsi" w:hAnsiTheme="majorHAnsi"/>
          <w:sz w:val="24"/>
          <w:szCs w:val="24"/>
        </w:rPr>
        <w:t xml:space="preserve">durchschnittliche </w:t>
      </w:r>
      <w:r w:rsidR="00153FB7">
        <w:rPr>
          <w:rFonts w:asciiTheme="majorHAnsi" w:hAnsiTheme="majorHAnsi"/>
          <w:sz w:val="24"/>
          <w:szCs w:val="24"/>
        </w:rPr>
        <w:t>Erwerbsaustrittsalter berufsspezifisch stark variiert</w:t>
      </w:r>
      <w:r w:rsidR="002C6BB9">
        <w:rPr>
          <w:rFonts w:asciiTheme="majorHAnsi" w:hAnsiTheme="majorHAnsi"/>
          <w:sz w:val="24"/>
          <w:szCs w:val="24"/>
        </w:rPr>
        <w:t xml:space="preserve"> </w:t>
      </w:r>
      <w:r w:rsidR="00153FB7">
        <w:rPr>
          <w:rFonts w:asciiTheme="majorHAnsi" w:hAnsiTheme="majorHAnsi"/>
          <w:sz w:val="24"/>
          <w:szCs w:val="24"/>
        </w:rPr>
        <w:t xml:space="preserve">(siehe etwa Böckler-Impuls </w:t>
      </w:r>
      <w:r w:rsidR="00FF560A">
        <w:rPr>
          <w:rFonts w:asciiTheme="majorHAnsi" w:hAnsiTheme="majorHAnsi"/>
          <w:sz w:val="24"/>
          <w:szCs w:val="24"/>
        </w:rPr>
        <w:t>0</w:t>
      </w:r>
      <w:r w:rsidR="00153FB7">
        <w:rPr>
          <w:rFonts w:asciiTheme="majorHAnsi" w:hAnsiTheme="majorHAnsi"/>
          <w:sz w:val="24"/>
          <w:szCs w:val="24"/>
        </w:rPr>
        <w:t>5/2014).</w:t>
      </w:r>
      <w:r w:rsidR="0019623A">
        <w:rPr>
          <w:rFonts w:asciiTheme="majorHAnsi" w:hAnsiTheme="majorHAnsi"/>
          <w:sz w:val="24"/>
          <w:szCs w:val="24"/>
        </w:rPr>
        <w:t xml:space="preserve"> </w:t>
      </w:r>
    </w:p>
    <w:p w:rsidR="00E46B39" w:rsidRPr="00C60873" w:rsidRDefault="008B135A" w:rsidP="00643FB3">
      <w:pPr>
        <w:spacing w:after="120"/>
        <w:rPr>
          <w:rFonts w:asciiTheme="majorHAnsi" w:hAnsiTheme="majorHAnsi"/>
          <w:b/>
          <w:sz w:val="28"/>
          <w:szCs w:val="24"/>
        </w:rPr>
      </w:pPr>
      <w:r>
        <w:rPr>
          <w:rFonts w:asciiTheme="majorHAnsi" w:hAnsiTheme="majorHAnsi"/>
          <w:b/>
          <w:sz w:val="28"/>
          <w:szCs w:val="24"/>
        </w:rPr>
        <w:t>Z</w:t>
      </w:r>
      <w:r w:rsidR="00E46B39" w:rsidRPr="00C60873">
        <w:rPr>
          <w:rFonts w:asciiTheme="majorHAnsi" w:hAnsiTheme="majorHAnsi"/>
          <w:b/>
          <w:sz w:val="28"/>
          <w:szCs w:val="24"/>
        </w:rPr>
        <w:t>entral</w:t>
      </w:r>
      <w:r w:rsidR="00FD424B" w:rsidRPr="00C60873">
        <w:rPr>
          <w:rFonts w:asciiTheme="majorHAnsi" w:hAnsiTheme="majorHAnsi"/>
          <w:b/>
          <w:sz w:val="28"/>
          <w:szCs w:val="24"/>
        </w:rPr>
        <w:t>e Ergebnisse im Einzelnen</w:t>
      </w:r>
    </w:p>
    <w:p w:rsidR="00C31F58" w:rsidRDefault="00AD1A49" w:rsidP="003933FE">
      <w:pPr>
        <w:spacing w:after="120"/>
        <w:rPr>
          <w:rFonts w:asciiTheme="majorHAnsi" w:hAnsiTheme="majorHAnsi"/>
          <w:sz w:val="24"/>
          <w:szCs w:val="24"/>
        </w:rPr>
      </w:pPr>
      <w:r>
        <w:rPr>
          <w:rFonts w:asciiTheme="majorHAnsi" w:hAnsiTheme="majorHAnsi"/>
          <w:sz w:val="24"/>
          <w:szCs w:val="24"/>
        </w:rPr>
        <w:t>In der Tat</w:t>
      </w:r>
      <w:r w:rsidR="00152337">
        <w:rPr>
          <w:rFonts w:asciiTheme="majorHAnsi" w:hAnsiTheme="majorHAnsi"/>
          <w:sz w:val="24"/>
          <w:szCs w:val="24"/>
        </w:rPr>
        <w:t xml:space="preserve"> nimmt die Zahl der sozialversicherungspflichtig Beschäftigten zwischen 55 und 65 Jahren</w:t>
      </w:r>
      <w:r w:rsidR="00E46B39">
        <w:rPr>
          <w:rFonts w:asciiTheme="majorHAnsi" w:hAnsiTheme="majorHAnsi"/>
          <w:sz w:val="24"/>
          <w:szCs w:val="24"/>
        </w:rPr>
        <w:t xml:space="preserve"> zu (</w:t>
      </w:r>
      <w:r w:rsidR="00E46B39" w:rsidRPr="00E46B39">
        <w:rPr>
          <w:rFonts w:asciiTheme="majorHAnsi" w:hAnsiTheme="majorHAnsi"/>
          <w:color w:val="FF0000"/>
          <w:sz w:val="24"/>
          <w:szCs w:val="24"/>
        </w:rPr>
        <w:t>Frage 3</w:t>
      </w:r>
      <w:r w:rsidR="00E46B39">
        <w:rPr>
          <w:rFonts w:asciiTheme="majorHAnsi" w:hAnsiTheme="majorHAnsi"/>
          <w:sz w:val="24"/>
          <w:szCs w:val="24"/>
        </w:rPr>
        <w:t>).</w:t>
      </w:r>
      <w:r w:rsidR="00C72D81">
        <w:rPr>
          <w:rFonts w:asciiTheme="majorHAnsi" w:hAnsiTheme="majorHAnsi"/>
          <w:sz w:val="24"/>
          <w:szCs w:val="24"/>
        </w:rPr>
        <w:t xml:space="preserve"> Das ist</w:t>
      </w:r>
      <w:r w:rsidR="008813CF">
        <w:rPr>
          <w:rFonts w:asciiTheme="majorHAnsi" w:hAnsiTheme="majorHAnsi"/>
          <w:sz w:val="24"/>
          <w:szCs w:val="24"/>
        </w:rPr>
        <w:t xml:space="preserve"> im Grundsatz</w:t>
      </w:r>
      <w:r w:rsidR="00C72D81">
        <w:rPr>
          <w:rFonts w:asciiTheme="majorHAnsi" w:hAnsiTheme="majorHAnsi"/>
          <w:sz w:val="24"/>
          <w:szCs w:val="24"/>
        </w:rPr>
        <w:t xml:space="preserve"> eine gute Nachricht</w:t>
      </w:r>
      <w:r w:rsidR="008813CF">
        <w:rPr>
          <w:rFonts w:asciiTheme="majorHAnsi" w:hAnsiTheme="majorHAnsi"/>
          <w:sz w:val="24"/>
          <w:szCs w:val="24"/>
        </w:rPr>
        <w:t>. Das Bild trübt sich allerdings</w:t>
      </w:r>
      <w:r w:rsidR="00C72D81">
        <w:rPr>
          <w:rFonts w:asciiTheme="majorHAnsi" w:hAnsiTheme="majorHAnsi"/>
          <w:sz w:val="24"/>
          <w:szCs w:val="24"/>
        </w:rPr>
        <w:t>,</w:t>
      </w:r>
      <w:r w:rsidR="008813CF">
        <w:rPr>
          <w:rFonts w:asciiTheme="majorHAnsi" w:hAnsiTheme="majorHAnsi"/>
          <w:sz w:val="24"/>
          <w:szCs w:val="24"/>
        </w:rPr>
        <w:t xml:space="preserve"> denn dieser Anstieg ist </w:t>
      </w:r>
      <w:r w:rsidR="00C72D81">
        <w:rPr>
          <w:rFonts w:asciiTheme="majorHAnsi" w:hAnsiTheme="majorHAnsi"/>
          <w:sz w:val="24"/>
          <w:szCs w:val="24"/>
        </w:rPr>
        <w:t xml:space="preserve">nicht unwesentlich auf </w:t>
      </w:r>
      <w:r w:rsidR="000159B2">
        <w:rPr>
          <w:rFonts w:asciiTheme="majorHAnsi" w:hAnsiTheme="majorHAnsi"/>
          <w:sz w:val="24"/>
          <w:szCs w:val="24"/>
        </w:rPr>
        <w:t xml:space="preserve">die demografische Entwicklung zurückzuführen, wie aus der Antwort auf </w:t>
      </w:r>
      <w:r w:rsidR="000159B2" w:rsidRPr="00536E5A">
        <w:rPr>
          <w:rFonts w:asciiTheme="majorHAnsi" w:hAnsiTheme="majorHAnsi"/>
          <w:color w:val="FF0000"/>
          <w:sz w:val="24"/>
          <w:szCs w:val="24"/>
        </w:rPr>
        <w:t>Frage 1</w:t>
      </w:r>
      <w:r w:rsidR="000159B2">
        <w:rPr>
          <w:rFonts w:asciiTheme="majorHAnsi" w:hAnsiTheme="majorHAnsi"/>
          <w:sz w:val="24"/>
          <w:szCs w:val="24"/>
        </w:rPr>
        <w:t xml:space="preserve"> hervorgeht:</w:t>
      </w:r>
    </w:p>
    <w:p w:rsidR="000159B2" w:rsidRDefault="00BE6A2D" w:rsidP="003933FE">
      <w:pPr>
        <w:spacing w:after="120"/>
        <w:rPr>
          <w:rFonts w:asciiTheme="majorHAnsi" w:hAnsiTheme="majorHAnsi"/>
          <w:sz w:val="24"/>
          <w:szCs w:val="24"/>
        </w:rPr>
      </w:pPr>
      <w:r>
        <w:rPr>
          <w:noProof/>
          <w:lang w:eastAsia="de-DE"/>
        </w:rPr>
        <w:drawing>
          <wp:inline distT="0" distB="0" distL="0" distR="0" wp14:anchorId="76D37FD6" wp14:editId="5B1C9A87">
            <wp:extent cx="5760720" cy="3017520"/>
            <wp:effectExtent l="0" t="0" r="11430" b="1143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26D22" w:rsidRDefault="009637C9">
      <w:pPr>
        <w:rPr>
          <w:rFonts w:asciiTheme="majorHAnsi" w:hAnsiTheme="majorHAnsi"/>
          <w:sz w:val="24"/>
          <w:szCs w:val="24"/>
        </w:rPr>
      </w:pPr>
      <w:r>
        <w:rPr>
          <w:rFonts w:asciiTheme="majorHAnsi" w:hAnsiTheme="majorHAnsi"/>
          <w:sz w:val="24"/>
          <w:szCs w:val="24"/>
        </w:rPr>
        <w:t xml:space="preserve">Gleichzeitig ist auch der Anteil der Erwerbspersonen (dazu gehören Erwerbstätige mit einer Beschäftigung, geringfügig und sozialversicherungspflichtig, sowie Erwerbslose) </w:t>
      </w:r>
      <w:r w:rsidR="00FB57D0">
        <w:rPr>
          <w:rFonts w:asciiTheme="majorHAnsi" w:hAnsiTheme="majorHAnsi"/>
          <w:sz w:val="24"/>
          <w:szCs w:val="24"/>
        </w:rPr>
        <w:t>an der Bevölkerung gestiegen (</w:t>
      </w:r>
      <w:r w:rsidR="00FB57D0" w:rsidRPr="00FB57D0">
        <w:rPr>
          <w:rFonts w:asciiTheme="majorHAnsi" w:hAnsiTheme="majorHAnsi"/>
          <w:color w:val="FF0000"/>
          <w:sz w:val="24"/>
          <w:szCs w:val="24"/>
        </w:rPr>
        <w:t>Frage 2</w:t>
      </w:r>
      <w:r w:rsidR="00FB57D0">
        <w:rPr>
          <w:rFonts w:asciiTheme="majorHAnsi" w:hAnsiTheme="majorHAnsi"/>
          <w:sz w:val="24"/>
          <w:szCs w:val="24"/>
        </w:rPr>
        <w:t xml:space="preserve">). </w:t>
      </w:r>
    </w:p>
    <w:p w:rsidR="00DC6D7B" w:rsidRDefault="009C0105" w:rsidP="003933FE">
      <w:pPr>
        <w:spacing w:after="120"/>
        <w:rPr>
          <w:rFonts w:asciiTheme="majorHAnsi" w:hAnsiTheme="majorHAnsi"/>
          <w:sz w:val="24"/>
          <w:szCs w:val="24"/>
        </w:rPr>
      </w:pPr>
      <w:r>
        <w:rPr>
          <w:rFonts w:asciiTheme="majorHAnsi" w:hAnsiTheme="majorHAnsi"/>
          <w:sz w:val="24"/>
          <w:szCs w:val="24"/>
        </w:rPr>
        <w:t>Hier lohnt ein Blick auf die einzelnen Altersjahre vor dem Renteneintrittsalter. Dieser war auf der Grundlage des Berichts zur Rente mit 67 noch nicht möglich, da hier regelmäßig nur die die Gruppe der 55-65-Jährigen zusammenfassend dargestellt wird.</w:t>
      </w:r>
      <w:r w:rsidR="00DC6D7B">
        <w:rPr>
          <w:rFonts w:asciiTheme="majorHAnsi" w:hAnsiTheme="majorHAnsi"/>
          <w:sz w:val="24"/>
          <w:szCs w:val="24"/>
        </w:rPr>
        <w:t xml:space="preserve"> Dabei bestehen innerhalb dieser Gruppe erhebliche Unterschiede</w:t>
      </w:r>
      <w:r w:rsidR="0089246D">
        <w:rPr>
          <w:rFonts w:asciiTheme="majorHAnsi" w:hAnsiTheme="majorHAnsi"/>
          <w:sz w:val="24"/>
          <w:szCs w:val="24"/>
        </w:rPr>
        <w:t xml:space="preserve">. Während die </w:t>
      </w:r>
      <w:r w:rsidR="0089246D" w:rsidRPr="00F40473">
        <w:rPr>
          <w:rFonts w:asciiTheme="majorHAnsi" w:hAnsiTheme="majorHAnsi"/>
          <w:b/>
          <w:sz w:val="24"/>
          <w:szCs w:val="24"/>
          <w:u w:val="single"/>
        </w:rPr>
        <w:t>Erwerbsbeteiligung</w:t>
      </w:r>
      <w:r w:rsidR="0089246D">
        <w:rPr>
          <w:rFonts w:asciiTheme="majorHAnsi" w:hAnsiTheme="majorHAnsi"/>
          <w:sz w:val="24"/>
          <w:szCs w:val="24"/>
        </w:rPr>
        <w:t xml:space="preserve"> in den jüngeren Jahren vergleichsweise hoch ist, verbleiben die Werte bei den 63-65-Jährigen auf niedrigem Niveau. </w:t>
      </w:r>
      <w:r w:rsidR="00030178">
        <w:rPr>
          <w:rFonts w:asciiTheme="majorHAnsi" w:hAnsiTheme="majorHAnsi"/>
          <w:sz w:val="24"/>
          <w:szCs w:val="24"/>
        </w:rPr>
        <w:t>Nur gut jede und jeder Dritte im Alter von 64 Jahren steht dem Arbeitsmarkt zur Verfügung, bei den 65-Jährigen ist es</w:t>
      </w:r>
      <w:r w:rsidR="000F02CD">
        <w:rPr>
          <w:rFonts w:asciiTheme="majorHAnsi" w:hAnsiTheme="majorHAnsi"/>
          <w:sz w:val="24"/>
          <w:szCs w:val="24"/>
        </w:rPr>
        <w:t xml:space="preserve"> gar nur jede und jeder Vierte:</w:t>
      </w:r>
    </w:p>
    <w:p w:rsidR="00427DDA" w:rsidRDefault="00141452" w:rsidP="009B2345">
      <w:pPr>
        <w:spacing w:after="0"/>
        <w:rPr>
          <w:rFonts w:asciiTheme="majorHAnsi" w:hAnsiTheme="majorHAnsi"/>
          <w:sz w:val="24"/>
          <w:szCs w:val="24"/>
        </w:rPr>
      </w:pPr>
      <w:r>
        <w:rPr>
          <w:noProof/>
          <w:lang w:eastAsia="de-DE"/>
        </w:rPr>
        <w:lastRenderedPageBreak/>
        <w:drawing>
          <wp:inline distT="0" distB="0" distL="0" distR="0" wp14:anchorId="61DB90D9" wp14:editId="3D5D8695">
            <wp:extent cx="5760720" cy="2461260"/>
            <wp:effectExtent l="0" t="0" r="11430" b="1524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2345" w:rsidRPr="002B18B4" w:rsidRDefault="009B2345" w:rsidP="00427DDA">
      <w:pPr>
        <w:rPr>
          <w:rFonts w:asciiTheme="majorHAnsi" w:hAnsiTheme="majorHAnsi"/>
          <w:sz w:val="20"/>
          <w:szCs w:val="24"/>
        </w:rPr>
      </w:pPr>
      <w:r w:rsidRPr="002B18B4">
        <w:rPr>
          <w:rFonts w:asciiTheme="majorHAnsi" w:hAnsiTheme="majorHAnsi"/>
          <w:sz w:val="20"/>
          <w:szCs w:val="24"/>
        </w:rPr>
        <w:t>(</w:t>
      </w:r>
      <w:r w:rsidR="007328FA">
        <w:rPr>
          <w:rFonts w:asciiTheme="majorHAnsi" w:hAnsiTheme="majorHAnsi"/>
          <w:sz w:val="20"/>
          <w:szCs w:val="24"/>
        </w:rPr>
        <w:t xml:space="preserve">Quelle: </w:t>
      </w:r>
      <w:r w:rsidRPr="002B18B4">
        <w:rPr>
          <w:rFonts w:asciiTheme="majorHAnsi" w:hAnsiTheme="majorHAnsi"/>
          <w:sz w:val="20"/>
          <w:szCs w:val="24"/>
        </w:rPr>
        <w:t>eigene Berechnungen auf der Grundlage von Frage 2 und Zahlen des Statistischen Bundesamtes</w:t>
      </w:r>
      <w:r w:rsidR="002B18B4">
        <w:rPr>
          <w:rFonts w:asciiTheme="majorHAnsi" w:hAnsiTheme="majorHAnsi"/>
          <w:sz w:val="20"/>
          <w:szCs w:val="24"/>
        </w:rPr>
        <w:t>)</w:t>
      </w:r>
    </w:p>
    <w:p w:rsidR="00FB57D0" w:rsidRDefault="00427DDA" w:rsidP="00427DDA">
      <w:pPr>
        <w:rPr>
          <w:rFonts w:asciiTheme="majorHAnsi" w:hAnsiTheme="majorHAnsi"/>
          <w:sz w:val="24"/>
          <w:szCs w:val="24"/>
        </w:rPr>
      </w:pPr>
      <w:r>
        <w:rPr>
          <w:rFonts w:asciiTheme="majorHAnsi" w:hAnsiTheme="majorHAnsi"/>
          <w:sz w:val="24"/>
          <w:szCs w:val="24"/>
        </w:rPr>
        <w:t>Die oben genannten Zahlen lassen allerdings noch keine Aussage über die Qualität der Arbeit zu.</w:t>
      </w:r>
      <w:r w:rsidR="00123B20">
        <w:rPr>
          <w:rFonts w:asciiTheme="majorHAnsi" w:hAnsiTheme="majorHAnsi"/>
          <w:sz w:val="24"/>
          <w:szCs w:val="24"/>
        </w:rPr>
        <w:t xml:space="preserve"> Der </w:t>
      </w:r>
      <w:r w:rsidR="00123B20" w:rsidRPr="00F40473">
        <w:rPr>
          <w:rFonts w:asciiTheme="majorHAnsi" w:hAnsiTheme="majorHAnsi"/>
          <w:b/>
          <w:sz w:val="24"/>
          <w:szCs w:val="24"/>
          <w:u w:val="single"/>
        </w:rPr>
        <w:t>Anteil der sozialversicherungspflichtigen Beschäftigung</w:t>
      </w:r>
      <w:r w:rsidR="00123B20">
        <w:rPr>
          <w:rFonts w:asciiTheme="majorHAnsi" w:hAnsiTheme="majorHAnsi"/>
          <w:sz w:val="24"/>
          <w:szCs w:val="24"/>
        </w:rPr>
        <w:t xml:space="preserve"> liegt bei 55-Jährigen noch bei 73,9 Prozent, fällt mit steigendem Alter dann aber immer schneller ab. Weniger als die Hälfte aller 64-Jährigen verfügt eine sv-pflichtige Stelle. Bei den 65 sind es nur knapp 37 Prozent</w:t>
      </w:r>
      <w:r w:rsidR="00CC674C">
        <w:rPr>
          <w:rFonts w:asciiTheme="majorHAnsi" w:hAnsiTheme="majorHAnsi"/>
          <w:sz w:val="24"/>
          <w:szCs w:val="24"/>
        </w:rPr>
        <w:t xml:space="preserve"> (eigene Berechnungen auf Grundlage der </w:t>
      </w:r>
      <w:r w:rsidR="00CC674C" w:rsidRPr="00FF41D9">
        <w:rPr>
          <w:rFonts w:asciiTheme="majorHAnsi" w:hAnsiTheme="majorHAnsi"/>
          <w:color w:val="FF0000"/>
          <w:sz w:val="24"/>
          <w:szCs w:val="24"/>
        </w:rPr>
        <w:t xml:space="preserve">Fragen </w:t>
      </w:r>
      <w:r w:rsidR="0030720E">
        <w:rPr>
          <w:rFonts w:asciiTheme="majorHAnsi" w:hAnsiTheme="majorHAnsi"/>
          <w:color w:val="FF0000"/>
          <w:sz w:val="24"/>
          <w:szCs w:val="24"/>
        </w:rPr>
        <w:t>2</w:t>
      </w:r>
      <w:r w:rsidR="00FF41D9" w:rsidRPr="00FF41D9">
        <w:rPr>
          <w:rFonts w:asciiTheme="majorHAnsi" w:hAnsiTheme="majorHAnsi"/>
          <w:color w:val="FF0000"/>
          <w:sz w:val="24"/>
          <w:szCs w:val="24"/>
        </w:rPr>
        <w:t xml:space="preserve"> und </w:t>
      </w:r>
      <w:r w:rsidR="0030720E">
        <w:rPr>
          <w:rFonts w:asciiTheme="majorHAnsi" w:hAnsiTheme="majorHAnsi"/>
          <w:color w:val="FF0000"/>
          <w:sz w:val="24"/>
          <w:szCs w:val="24"/>
        </w:rPr>
        <w:t>3</w:t>
      </w:r>
      <w:r w:rsidR="00FF41D9">
        <w:rPr>
          <w:rFonts w:asciiTheme="majorHAnsi" w:hAnsiTheme="majorHAnsi"/>
          <w:sz w:val="24"/>
          <w:szCs w:val="24"/>
        </w:rPr>
        <w:t>)</w:t>
      </w:r>
      <w:r w:rsidR="000F02CD">
        <w:rPr>
          <w:rFonts w:asciiTheme="majorHAnsi" w:hAnsiTheme="majorHAnsi"/>
          <w:sz w:val="24"/>
          <w:szCs w:val="24"/>
        </w:rPr>
        <w:t>:</w:t>
      </w:r>
    </w:p>
    <w:p w:rsidR="00401206" w:rsidRDefault="00674BE3" w:rsidP="00427DDA">
      <w:pPr>
        <w:rPr>
          <w:rFonts w:asciiTheme="majorHAnsi" w:hAnsiTheme="majorHAnsi"/>
          <w:sz w:val="24"/>
          <w:szCs w:val="24"/>
        </w:rPr>
      </w:pPr>
      <w:r>
        <w:rPr>
          <w:noProof/>
          <w:lang w:eastAsia="de-DE"/>
        </w:rPr>
        <w:drawing>
          <wp:inline distT="0" distB="0" distL="0" distR="0" wp14:anchorId="5EF59C67" wp14:editId="5B1AC2AC">
            <wp:extent cx="5760720" cy="2164080"/>
            <wp:effectExtent l="0" t="0" r="11430" b="762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02A3" w:rsidRDefault="00C96A2D" w:rsidP="00401206">
      <w:pPr>
        <w:tabs>
          <w:tab w:val="left" w:pos="2136"/>
        </w:tabs>
        <w:rPr>
          <w:rFonts w:asciiTheme="majorHAnsi" w:hAnsiTheme="majorHAnsi"/>
          <w:sz w:val="24"/>
          <w:szCs w:val="24"/>
        </w:rPr>
      </w:pPr>
      <w:r>
        <w:rPr>
          <w:rFonts w:asciiTheme="majorHAnsi" w:hAnsiTheme="majorHAnsi"/>
          <w:sz w:val="24"/>
          <w:szCs w:val="24"/>
        </w:rPr>
        <w:t xml:space="preserve">Von </w:t>
      </w:r>
      <w:r w:rsidR="00177BDA">
        <w:rPr>
          <w:rFonts w:asciiTheme="majorHAnsi" w:hAnsiTheme="majorHAnsi"/>
          <w:sz w:val="24"/>
          <w:szCs w:val="24"/>
        </w:rPr>
        <w:t xml:space="preserve">rund 238.000 65-jährigen Erwerbspersonen gehen nur 55.000 Menschen einer sozialversicherungspflichtigen Vollzeitbeschäftigung nach; von den rund </w:t>
      </w:r>
      <w:r w:rsidR="004F4360">
        <w:rPr>
          <w:rFonts w:asciiTheme="majorHAnsi" w:hAnsiTheme="majorHAnsi"/>
          <w:sz w:val="24"/>
          <w:szCs w:val="24"/>
        </w:rPr>
        <w:t>360.000 64-Jährigen sind dies etwa 114.000.</w:t>
      </w:r>
      <w:r w:rsidR="006A1969">
        <w:rPr>
          <w:rFonts w:asciiTheme="majorHAnsi" w:hAnsiTheme="majorHAnsi"/>
          <w:sz w:val="24"/>
          <w:szCs w:val="24"/>
        </w:rPr>
        <w:t xml:space="preserve"> </w:t>
      </w:r>
      <w:r w:rsidR="001E37E0">
        <w:rPr>
          <w:rFonts w:asciiTheme="majorHAnsi" w:hAnsiTheme="majorHAnsi"/>
          <w:sz w:val="24"/>
          <w:szCs w:val="24"/>
        </w:rPr>
        <w:t xml:space="preserve">Alle anderen, also 183.000 65-Jährige und 246.000 64-Jährige, sind arbeitslos, in Teilzeit in einer sozialversicherungspflichtigen Beschäftigung </w:t>
      </w:r>
      <w:r w:rsidR="001C1763">
        <w:rPr>
          <w:rFonts w:asciiTheme="majorHAnsi" w:hAnsiTheme="majorHAnsi"/>
          <w:sz w:val="24"/>
          <w:szCs w:val="24"/>
        </w:rPr>
        <w:t xml:space="preserve">oder geringfügig </w:t>
      </w:r>
      <w:r w:rsidR="00C321FA">
        <w:rPr>
          <w:rFonts w:asciiTheme="majorHAnsi" w:hAnsiTheme="majorHAnsi"/>
          <w:sz w:val="24"/>
          <w:szCs w:val="24"/>
        </w:rPr>
        <w:t>tätig, also in einem Minijob.</w:t>
      </w:r>
    </w:p>
    <w:p w:rsidR="00CD6570" w:rsidRDefault="00CD6570" w:rsidP="00401206">
      <w:pPr>
        <w:tabs>
          <w:tab w:val="left" w:pos="2136"/>
        </w:tabs>
        <w:rPr>
          <w:rFonts w:asciiTheme="majorHAnsi" w:hAnsiTheme="majorHAnsi"/>
          <w:sz w:val="24"/>
          <w:szCs w:val="24"/>
        </w:rPr>
      </w:pPr>
    </w:p>
    <w:p w:rsidR="00CD6570" w:rsidRDefault="00CD6570" w:rsidP="00401206">
      <w:pPr>
        <w:tabs>
          <w:tab w:val="left" w:pos="2136"/>
        </w:tabs>
        <w:rPr>
          <w:rFonts w:asciiTheme="majorHAnsi" w:hAnsiTheme="majorHAnsi"/>
          <w:sz w:val="24"/>
          <w:szCs w:val="24"/>
        </w:rPr>
      </w:pPr>
    </w:p>
    <w:p w:rsidR="00CD6570" w:rsidRDefault="00CD6570" w:rsidP="00401206">
      <w:pPr>
        <w:tabs>
          <w:tab w:val="left" w:pos="2136"/>
        </w:tabs>
        <w:rPr>
          <w:rFonts w:asciiTheme="majorHAnsi" w:hAnsiTheme="majorHAnsi"/>
          <w:sz w:val="24"/>
          <w:szCs w:val="24"/>
        </w:rPr>
      </w:pPr>
    </w:p>
    <w:p w:rsidR="00CD6570" w:rsidRDefault="00CD6570" w:rsidP="00401206">
      <w:pPr>
        <w:tabs>
          <w:tab w:val="left" w:pos="2136"/>
        </w:tabs>
        <w:rPr>
          <w:rFonts w:asciiTheme="majorHAnsi" w:hAnsiTheme="majorHAnsi"/>
          <w:sz w:val="24"/>
          <w:szCs w:val="24"/>
        </w:rPr>
      </w:pPr>
    </w:p>
    <w:p w:rsidR="00CD6570" w:rsidRDefault="00CD6570" w:rsidP="00401206">
      <w:pPr>
        <w:tabs>
          <w:tab w:val="left" w:pos="2136"/>
        </w:tabs>
        <w:rPr>
          <w:rFonts w:asciiTheme="majorHAnsi" w:hAnsiTheme="majorHAnsi"/>
          <w:sz w:val="24"/>
          <w:szCs w:val="24"/>
        </w:rPr>
      </w:pPr>
    </w:p>
    <w:p w:rsidR="00CD6570" w:rsidRDefault="00CD6570" w:rsidP="00401206">
      <w:pPr>
        <w:tabs>
          <w:tab w:val="left" w:pos="2136"/>
        </w:tabs>
        <w:rPr>
          <w:rFonts w:asciiTheme="majorHAnsi" w:hAnsiTheme="majorHAnsi"/>
          <w:sz w:val="24"/>
          <w:szCs w:val="24"/>
        </w:rPr>
      </w:pPr>
    </w:p>
    <w:p w:rsidR="002A6A84" w:rsidRDefault="001C4B84" w:rsidP="00562E08">
      <w:pPr>
        <w:tabs>
          <w:tab w:val="left" w:pos="2136"/>
        </w:tabs>
        <w:ind w:right="5103"/>
        <w:rPr>
          <w:rFonts w:asciiTheme="majorHAnsi" w:hAnsiTheme="majorHAnsi"/>
          <w:sz w:val="24"/>
          <w:szCs w:val="24"/>
        </w:rPr>
      </w:pPr>
      <w:r>
        <w:rPr>
          <w:noProof/>
          <w:lang w:eastAsia="de-DE"/>
        </w:rPr>
        <w:lastRenderedPageBreak/>
        <w:drawing>
          <wp:anchor distT="0" distB="0" distL="114300" distR="114300" simplePos="0" relativeHeight="251658240" behindDoc="0" locked="0" layoutInCell="1" allowOverlap="1">
            <wp:simplePos x="0" y="0"/>
            <wp:positionH relativeFrom="column">
              <wp:posOffset>2605405</wp:posOffset>
            </wp:positionH>
            <wp:positionV relativeFrom="paragraph">
              <wp:posOffset>13970</wp:posOffset>
            </wp:positionV>
            <wp:extent cx="3154680" cy="2918460"/>
            <wp:effectExtent l="0" t="0" r="7620" b="15240"/>
            <wp:wrapNone/>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01206">
        <w:rPr>
          <w:rFonts w:asciiTheme="majorHAnsi" w:hAnsiTheme="majorHAnsi"/>
          <w:sz w:val="24"/>
          <w:szCs w:val="24"/>
        </w:rPr>
        <w:t>Blicken wir</w:t>
      </w:r>
      <w:r w:rsidR="0079375B">
        <w:rPr>
          <w:rFonts w:asciiTheme="majorHAnsi" w:hAnsiTheme="majorHAnsi"/>
          <w:sz w:val="24"/>
          <w:szCs w:val="24"/>
        </w:rPr>
        <w:t xml:space="preserve"> genauer</w:t>
      </w:r>
      <w:r w:rsidR="00401206">
        <w:rPr>
          <w:rFonts w:asciiTheme="majorHAnsi" w:hAnsiTheme="majorHAnsi"/>
          <w:sz w:val="24"/>
          <w:szCs w:val="24"/>
        </w:rPr>
        <w:t xml:space="preserve"> auf die </w:t>
      </w:r>
      <w:r w:rsidR="00401206" w:rsidRPr="00F40473">
        <w:rPr>
          <w:rFonts w:asciiTheme="majorHAnsi" w:hAnsiTheme="majorHAnsi"/>
          <w:b/>
          <w:sz w:val="24"/>
          <w:szCs w:val="24"/>
          <w:u w:val="single"/>
        </w:rPr>
        <w:t>Verteilung von Vollzeit und Teilzeit</w:t>
      </w:r>
      <w:r w:rsidR="00401206">
        <w:rPr>
          <w:rFonts w:asciiTheme="majorHAnsi" w:hAnsiTheme="majorHAnsi"/>
          <w:sz w:val="24"/>
          <w:szCs w:val="24"/>
        </w:rPr>
        <w:t xml:space="preserve">, </w:t>
      </w:r>
      <w:r>
        <w:rPr>
          <w:rFonts w:asciiTheme="majorHAnsi" w:hAnsiTheme="majorHAnsi"/>
          <w:sz w:val="24"/>
          <w:szCs w:val="24"/>
        </w:rPr>
        <w:t>wird deutlich, dass der Anteil der Teilzeitbeschäftigung</w:t>
      </w:r>
      <w:r w:rsidR="008908C3">
        <w:rPr>
          <w:rFonts w:asciiTheme="majorHAnsi" w:hAnsiTheme="majorHAnsi"/>
          <w:sz w:val="24"/>
          <w:szCs w:val="24"/>
        </w:rPr>
        <w:t xml:space="preserve"> (an </w:t>
      </w:r>
      <w:proofErr w:type="gramStart"/>
      <w:r w:rsidR="008908C3">
        <w:rPr>
          <w:rFonts w:asciiTheme="majorHAnsi" w:hAnsiTheme="majorHAnsi"/>
          <w:sz w:val="24"/>
          <w:szCs w:val="24"/>
        </w:rPr>
        <w:t>allen sv-pflichtig</w:t>
      </w:r>
      <w:proofErr w:type="gramEnd"/>
      <w:r w:rsidR="008908C3">
        <w:rPr>
          <w:rFonts w:asciiTheme="majorHAnsi" w:hAnsiTheme="majorHAnsi"/>
          <w:sz w:val="24"/>
          <w:szCs w:val="24"/>
        </w:rPr>
        <w:t xml:space="preserve"> Beschäftigten)</w:t>
      </w:r>
      <w:r>
        <w:rPr>
          <w:rFonts w:asciiTheme="majorHAnsi" w:hAnsiTheme="majorHAnsi"/>
          <w:sz w:val="24"/>
          <w:szCs w:val="24"/>
        </w:rPr>
        <w:t xml:space="preserve"> im rentennahen Alter</w:t>
      </w:r>
      <w:r w:rsidR="00F9701B">
        <w:rPr>
          <w:rFonts w:asciiTheme="majorHAnsi" w:hAnsiTheme="majorHAnsi"/>
          <w:sz w:val="24"/>
          <w:szCs w:val="24"/>
        </w:rPr>
        <w:t xml:space="preserve"> deutlich verbreiteter ist als in jüngeren Jahrgängen. S</w:t>
      </w:r>
      <w:r w:rsidR="009C3191">
        <w:rPr>
          <w:rFonts w:asciiTheme="majorHAnsi" w:hAnsiTheme="majorHAnsi"/>
          <w:sz w:val="24"/>
          <w:szCs w:val="24"/>
        </w:rPr>
        <w:t>o waren 2018 37,2 Prozent</w:t>
      </w:r>
      <w:r w:rsidR="0061182B">
        <w:rPr>
          <w:rFonts w:asciiTheme="majorHAnsi" w:hAnsiTheme="majorHAnsi"/>
          <w:sz w:val="24"/>
          <w:szCs w:val="24"/>
        </w:rPr>
        <w:t xml:space="preserve"> der</w:t>
      </w:r>
      <w:r w:rsidR="009C3191">
        <w:rPr>
          <w:rFonts w:asciiTheme="majorHAnsi" w:hAnsiTheme="majorHAnsi"/>
          <w:sz w:val="24"/>
          <w:szCs w:val="24"/>
        </w:rPr>
        <w:t xml:space="preserve"> 65-Jährigen sv-pflichtig Beschäftigten in Teilzeit </w:t>
      </w:r>
      <w:r w:rsidR="00955275">
        <w:rPr>
          <w:rFonts w:asciiTheme="majorHAnsi" w:hAnsiTheme="majorHAnsi"/>
          <w:sz w:val="24"/>
          <w:szCs w:val="24"/>
        </w:rPr>
        <w:t>t</w:t>
      </w:r>
      <w:r w:rsidR="002C3A3F">
        <w:rPr>
          <w:rFonts w:asciiTheme="majorHAnsi" w:hAnsiTheme="majorHAnsi"/>
          <w:sz w:val="24"/>
          <w:szCs w:val="24"/>
        </w:rPr>
        <w:t>ätig</w:t>
      </w:r>
      <w:r w:rsidR="002448A2">
        <w:rPr>
          <w:rFonts w:asciiTheme="majorHAnsi" w:hAnsiTheme="majorHAnsi"/>
          <w:sz w:val="24"/>
          <w:szCs w:val="24"/>
        </w:rPr>
        <w:t>.</w:t>
      </w:r>
      <w:r w:rsidR="00F735E1">
        <w:rPr>
          <w:rFonts w:asciiTheme="majorHAnsi" w:hAnsiTheme="majorHAnsi"/>
          <w:sz w:val="24"/>
          <w:szCs w:val="24"/>
        </w:rPr>
        <w:t xml:space="preserve"> Bei den 64-Jährigen</w:t>
      </w:r>
      <w:r w:rsidR="00100A3C">
        <w:rPr>
          <w:rFonts w:asciiTheme="majorHAnsi" w:hAnsiTheme="majorHAnsi"/>
          <w:sz w:val="24"/>
          <w:szCs w:val="24"/>
        </w:rPr>
        <w:t xml:space="preserve"> lag dieser Wert</w:t>
      </w:r>
      <w:r w:rsidR="00F735E1">
        <w:rPr>
          <w:rFonts w:asciiTheme="majorHAnsi" w:hAnsiTheme="majorHAnsi"/>
          <w:sz w:val="24"/>
          <w:szCs w:val="24"/>
        </w:rPr>
        <w:t xml:space="preserve"> bei 34 Prozent, b</w:t>
      </w:r>
      <w:r w:rsidR="009C3191">
        <w:rPr>
          <w:rFonts w:asciiTheme="majorHAnsi" w:hAnsiTheme="majorHAnsi"/>
          <w:sz w:val="24"/>
          <w:szCs w:val="24"/>
        </w:rPr>
        <w:t>ei de</w:t>
      </w:r>
      <w:r w:rsidR="00280A90">
        <w:rPr>
          <w:rFonts w:asciiTheme="majorHAnsi" w:hAnsiTheme="majorHAnsi"/>
          <w:sz w:val="24"/>
          <w:szCs w:val="24"/>
        </w:rPr>
        <w:t xml:space="preserve">n </w:t>
      </w:r>
      <w:r w:rsidR="00B00880">
        <w:rPr>
          <w:rFonts w:asciiTheme="majorHAnsi" w:hAnsiTheme="majorHAnsi"/>
          <w:sz w:val="24"/>
          <w:szCs w:val="24"/>
        </w:rPr>
        <w:t>55-Jährigen waren es 31 Prozent</w:t>
      </w:r>
      <w:r w:rsidR="00280A90">
        <w:rPr>
          <w:rFonts w:asciiTheme="majorHAnsi" w:hAnsiTheme="majorHAnsi"/>
          <w:sz w:val="24"/>
          <w:szCs w:val="24"/>
        </w:rPr>
        <w:t xml:space="preserve">, </w:t>
      </w:r>
      <w:bookmarkStart w:id="0" w:name="_GoBack"/>
      <w:bookmarkEnd w:id="0"/>
      <w:r w:rsidR="00280A90">
        <w:rPr>
          <w:rFonts w:asciiTheme="majorHAnsi" w:hAnsiTheme="majorHAnsi"/>
          <w:sz w:val="24"/>
          <w:szCs w:val="24"/>
        </w:rPr>
        <w:t xml:space="preserve">wie die Antwort der Bundesregierung auf </w:t>
      </w:r>
      <w:r w:rsidR="00280A90" w:rsidRPr="00A8533C">
        <w:rPr>
          <w:rFonts w:asciiTheme="majorHAnsi" w:hAnsiTheme="majorHAnsi"/>
          <w:color w:val="FF0000"/>
          <w:sz w:val="24"/>
          <w:szCs w:val="24"/>
        </w:rPr>
        <w:t>Frage</w:t>
      </w:r>
      <w:r w:rsidR="00280A90">
        <w:rPr>
          <w:rFonts w:asciiTheme="majorHAnsi" w:hAnsiTheme="majorHAnsi"/>
          <w:sz w:val="24"/>
          <w:szCs w:val="24"/>
        </w:rPr>
        <w:t xml:space="preserve"> </w:t>
      </w:r>
      <w:r w:rsidR="00280A90" w:rsidRPr="00280A90">
        <w:rPr>
          <w:rFonts w:asciiTheme="majorHAnsi" w:hAnsiTheme="majorHAnsi"/>
          <w:color w:val="FF0000"/>
          <w:sz w:val="24"/>
          <w:szCs w:val="24"/>
        </w:rPr>
        <w:t xml:space="preserve">6 </w:t>
      </w:r>
      <w:r w:rsidR="00280A90">
        <w:rPr>
          <w:rFonts w:asciiTheme="majorHAnsi" w:hAnsiTheme="majorHAnsi"/>
          <w:sz w:val="24"/>
          <w:szCs w:val="24"/>
        </w:rPr>
        <w:t xml:space="preserve">zeigt. Gleichzeitig liegt der </w:t>
      </w:r>
      <w:r w:rsidR="00257A57">
        <w:rPr>
          <w:rFonts w:asciiTheme="majorHAnsi" w:hAnsiTheme="majorHAnsi"/>
          <w:sz w:val="24"/>
          <w:szCs w:val="24"/>
        </w:rPr>
        <w:t>Anteil der in Vollzeit arbeitenden 65-Jährigen klar unterhalb des Anteil</w:t>
      </w:r>
      <w:r w:rsidR="00514C9E">
        <w:rPr>
          <w:rFonts w:asciiTheme="majorHAnsi" w:hAnsiTheme="majorHAnsi"/>
          <w:sz w:val="24"/>
          <w:szCs w:val="24"/>
        </w:rPr>
        <w:t>s</w:t>
      </w:r>
      <w:r w:rsidR="00257A57">
        <w:rPr>
          <w:rFonts w:asciiTheme="majorHAnsi" w:hAnsiTheme="majorHAnsi"/>
          <w:sz w:val="24"/>
          <w:szCs w:val="24"/>
        </w:rPr>
        <w:t xml:space="preserve"> der Jüngeren.</w:t>
      </w:r>
    </w:p>
    <w:p w:rsidR="00257A57" w:rsidRDefault="00996DAF" w:rsidP="00257A57">
      <w:pPr>
        <w:tabs>
          <w:tab w:val="left" w:pos="2136"/>
        </w:tabs>
        <w:rPr>
          <w:noProof/>
          <w:lang w:eastAsia="de-DE"/>
        </w:rPr>
      </w:pPr>
      <w:r>
        <w:rPr>
          <w:rFonts w:asciiTheme="majorHAnsi" w:hAnsiTheme="majorHAnsi"/>
          <w:sz w:val="24"/>
          <w:szCs w:val="24"/>
        </w:rPr>
        <w:t>Die P</w:t>
      </w:r>
      <w:r w:rsidR="00E25528">
        <w:rPr>
          <w:rFonts w:asciiTheme="majorHAnsi" w:hAnsiTheme="majorHAnsi"/>
          <w:sz w:val="24"/>
          <w:szCs w:val="24"/>
        </w:rPr>
        <w:t xml:space="preserve">robleme älterer Beschäftigter, mit der Anhebung der Regelaltersgrenze Schritt zu halten, </w:t>
      </w:r>
      <w:r w:rsidR="004C7C4F">
        <w:rPr>
          <w:rFonts w:asciiTheme="majorHAnsi" w:hAnsiTheme="majorHAnsi"/>
          <w:sz w:val="24"/>
          <w:szCs w:val="24"/>
        </w:rPr>
        <w:t>zeigen</w:t>
      </w:r>
      <w:r w:rsidR="00E25528">
        <w:rPr>
          <w:rFonts w:asciiTheme="majorHAnsi" w:hAnsiTheme="majorHAnsi"/>
          <w:sz w:val="24"/>
          <w:szCs w:val="24"/>
        </w:rPr>
        <w:t xml:space="preserve"> sich auch </w:t>
      </w:r>
      <w:r w:rsidR="005A771C">
        <w:rPr>
          <w:rFonts w:asciiTheme="majorHAnsi" w:hAnsiTheme="majorHAnsi"/>
          <w:sz w:val="24"/>
          <w:szCs w:val="24"/>
        </w:rPr>
        <w:t xml:space="preserve">in der </w:t>
      </w:r>
      <w:r w:rsidR="005A771C" w:rsidRPr="00A37A30">
        <w:rPr>
          <w:rFonts w:asciiTheme="majorHAnsi" w:hAnsiTheme="majorHAnsi"/>
          <w:b/>
          <w:sz w:val="24"/>
          <w:szCs w:val="24"/>
          <w:u w:val="single"/>
        </w:rPr>
        <w:t>Entwicklung geringfügiger Beschäftigung unter Älteren</w:t>
      </w:r>
      <w:r w:rsidR="005A771C">
        <w:rPr>
          <w:rFonts w:asciiTheme="majorHAnsi" w:hAnsiTheme="majorHAnsi"/>
          <w:sz w:val="24"/>
          <w:szCs w:val="24"/>
        </w:rPr>
        <w:t>. So hat die Zahl de</w:t>
      </w:r>
      <w:r w:rsidR="00806537">
        <w:rPr>
          <w:rFonts w:asciiTheme="majorHAnsi" w:hAnsiTheme="majorHAnsi"/>
          <w:sz w:val="24"/>
          <w:szCs w:val="24"/>
        </w:rPr>
        <w:t>r Minijobberi</w:t>
      </w:r>
      <w:r w:rsidR="005A771C">
        <w:rPr>
          <w:rFonts w:asciiTheme="majorHAnsi" w:hAnsiTheme="majorHAnsi"/>
          <w:sz w:val="24"/>
          <w:szCs w:val="24"/>
        </w:rPr>
        <w:t>nnen und Minijobber seit 2013 unter den 6</w:t>
      </w:r>
      <w:r w:rsidR="00653231">
        <w:rPr>
          <w:rFonts w:asciiTheme="majorHAnsi" w:hAnsiTheme="majorHAnsi"/>
          <w:sz w:val="24"/>
          <w:szCs w:val="24"/>
        </w:rPr>
        <w:t>3- bis</w:t>
      </w:r>
      <w:r w:rsidR="005A771C">
        <w:rPr>
          <w:rFonts w:asciiTheme="majorHAnsi" w:hAnsiTheme="majorHAnsi"/>
          <w:sz w:val="24"/>
          <w:szCs w:val="24"/>
        </w:rPr>
        <w:t xml:space="preserve"> 65-Jährigen </w:t>
      </w:r>
      <w:r w:rsidR="004E062D">
        <w:rPr>
          <w:rFonts w:asciiTheme="majorHAnsi" w:hAnsiTheme="majorHAnsi"/>
          <w:sz w:val="24"/>
          <w:szCs w:val="24"/>
        </w:rPr>
        <w:t>zugenommen, von 368.000 auf 4</w:t>
      </w:r>
      <w:r w:rsidR="005A6901">
        <w:rPr>
          <w:rFonts w:asciiTheme="majorHAnsi" w:hAnsiTheme="majorHAnsi"/>
          <w:sz w:val="24"/>
          <w:szCs w:val="24"/>
        </w:rPr>
        <w:t>3</w:t>
      </w:r>
      <w:r w:rsidR="004E062D">
        <w:rPr>
          <w:rFonts w:asciiTheme="majorHAnsi" w:hAnsiTheme="majorHAnsi"/>
          <w:sz w:val="24"/>
          <w:szCs w:val="24"/>
        </w:rPr>
        <w:t>8.000 im Jahr 2018</w:t>
      </w:r>
      <w:r w:rsidR="002B0B28">
        <w:rPr>
          <w:rFonts w:asciiTheme="majorHAnsi" w:hAnsiTheme="majorHAnsi"/>
          <w:sz w:val="24"/>
          <w:szCs w:val="24"/>
        </w:rPr>
        <w:t xml:space="preserve"> (</w:t>
      </w:r>
      <w:r w:rsidR="002B0B28" w:rsidRPr="002B0B28">
        <w:rPr>
          <w:rFonts w:asciiTheme="majorHAnsi" w:hAnsiTheme="majorHAnsi"/>
          <w:color w:val="FF0000"/>
          <w:sz w:val="24"/>
          <w:szCs w:val="24"/>
        </w:rPr>
        <w:t>Frage 7</w:t>
      </w:r>
      <w:r w:rsidR="002B0B28">
        <w:rPr>
          <w:rFonts w:asciiTheme="majorHAnsi" w:hAnsiTheme="majorHAnsi"/>
          <w:sz w:val="24"/>
          <w:szCs w:val="24"/>
        </w:rPr>
        <w:t>)</w:t>
      </w:r>
      <w:r w:rsidR="0085403D">
        <w:rPr>
          <w:rFonts w:asciiTheme="majorHAnsi" w:hAnsiTheme="majorHAnsi"/>
          <w:sz w:val="24"/>
          <w:szCs w:val="24"/>
        </w:rPr>
        <w:t>:</w:t>
      </w:r>
    </w:p>
    <w:p w:rsidR="004E062D" w:rsidRDefault="004E062D" w:rsidP="00120081">
      <w:pPr>
        <w:tabs>
          <w:tab w:val="left" w:pos="2136"/>
        </w:tabs>
        <w:spacing w:after="240"/>
        <w:rPr>
          <w:rFonts w:asciiTheme="majorHAnsi" w:hAnsiTheme="majorHAnsi"/>
          <w:sz w:val="24"/>
          <w:szCs w:val="24"/>
        </w:rPr>
      </w:pPr>
      <w:r>
        <w:rPr>
          <w:noProof/>
          <w:lang w:eastAsia="de-DE"/>
        </w:rPr>
        <w:drawing>
          <wp:inline distT="0" distB="0" distL="0" distR="0" wp14:anchorId="29C2701F" wp14:editId="1375FB4C">
            <wp:extent cx="5760720" cy="2232660"/>
            <wp:effectExtent l="0" t="0" r="11430" b="1524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0081" w:rsidRDefault="00120081" w:rsidP="00401206">
      <w:pPr>
        <w:tabs>
          <w:tab w:val="left" w:pos="2136"/>
        </w:tabs>
        <w:rPr>
          <w:rFonts w:asciiTheme="majorHAnsi" w:hAnsiTheme="majorHAnsi"/>
          <w:sz w:val="24"/>
          <w:szCs w:val="24"/>
        </w:rPr>
      </w:pPr>
      <w:r>
        <w:rPr>
          <w:rFonts w:asciiTheme="majorHAnsi" w:hAnsiTheme="majorHAnsi"/>
          <w:sz w:val="24"/>
          <w:szCs w:val="24"/>
        </w:rPr>
        <w:t xml:space="preserve">Der </w:t>
      </w:r>
      <w:r w:rsidRPr="00A37A30">
        <w:rPr>
          <w:rFonts w:asciiTheme="majorHAnsi" w:hAnsiTheme="majorHAnsi"/>
          <w:b/>
          <w:sz w:val="24"/>
          <w:szCs w:val="24"/>
          <w:u w:val="single"/>
        </w:rPr>
        <w:t>Anteil der MinijobberInnen</w:t>
      </w:r>
      <w:r>
        <w:rPr>
          <w:rFonts w:asciiTheme="majorHAnsi" w:hAnsiTheme="majorHAnsi"/>
          <w:sz w:val="24"/>
          <w:szCs w:val="24"/>
        </w:rPr>
        <w:t xml:space="preserve"> (an allen Erwerbspersonen) ist in den rentennahen Jahrgängen deutlich höher als unter den Unter-63-Jährigen (eigene Berechnungen auf der Grundlage der </w:t>
      </w:r>
      <w:r w:rsidRPr="00120081">
        <w:rPr>
          <w:rFonts w:asciiTheme="majorHAnsi" w:hAnsiTheme="majorHAnsi"/>
          <w:color w:val="FF0000"/>
          <w:sz w:val="24"/>
          <w:szCs w:val="24"/>
        </w:rPr>
        <w:t>Fragen 7 und 2</w:t>
      </w:r>
      <w:r>
        <w:rPr>
          <w:rFonts w:asciiTheme="majorHAnsi" w:hAnsiTheme="majorHAnsi"/>
          <w:sz w:val="24"/>
          <w:szCs w:val="24"/>
        </w:rPr>
        <w:t>)</w:t>
      </w:r>
      <w:r w:rsidR="006B111B">
        <w:rPr>
          <w:rFonts w:asciiTheme="majorHAnsi" w:hAnsiTheme="majorHAnsi"/>
          <w:sz w:val="24"/>
          <w:szCs w:val="24"/>
        </w:rPr>
        <w:t xml:space="preserve">. Rund die Hälfte </w:t>
      </w:r>
      <w:r w:rsidR="00745C0F">
        <w:rPr>
          <w:rFonts w:asciiTheme="majorHAnsi" w:hAnsiTheme="majorHAnsi"/>
          <w:sz w:val="24"/>
          <w:szCs w:val="24"/>
        </w:rPr>
        <w:t xml:space="preserve">(51,3 Prozent) </w:t>
      </w:r>
      <w:r w:rsidR="006B111B">
        <w:rPr>
          <w:rFonts w:asciiTheme="majorHAnsi" w:hAnsiTheme="majorHAnsi"/>
          <w:sz w:val="24"/>
          <w:szCs w:val="24"/>
        </w:rPr>
        <w:t xml:space="preserve">aller </w:t>
      </w:r>
      <w:r w:rsidR="00745C0F">
        <w:rPr>
          <w:rFonts w:asciiTheme="majorHAnsi" w:hAnsiTheme="majorHAnsi"/>
          <w:sz w:val="24"/>
          <w:szCs w:val="24"/>
        </w:rPr>
        <w:t>Erwerbspersonen</w:t>
      </w:r>
      <w:r w:rsidR="006B111B">
        <w:rPr>
          <w:rFonts w:asciiTheme="majorHAnsi" w:hAnsiTheme="majorHAnsi"/>
          <w:sz w:val="24"/>
          <w:szCs w:val="24"/>
        </w:rPr>
        <w:t xml:space="preserve"> im Alter von 64 und 65 </w:t>
      </w:r>
      <w:r w:rsidR="00745C0F">
        <w:rPr>
          <w:rFonts w:asciiTheme="majorHAnsi" w:hAnsiTheme="majorHAnsi"/>
          <w:sz w:val="24"/>
          <w:szCs w:val="24"/>
        </w:rPr>
        <w:t>Jahren arbeiten in einem Minijob:</w:t>
      </w:r>
    </w:p>
    <w:p w:rsidR="00FD5FFD" w:rsidRDefault="00FD5FFD" w:rsidP="00401206">
      <w:pPr>
        <w:tabs>
          <w:tab w:val="left" w:pos="2136"/>
        </w:tabs>
        <w:rPr>
          <w:rFonts w:asciiTheme="majorHAnsi" w:hAnsiTheme="majorHAnsi"/>
          <w:sz w:val="24"/>
          <w:szCs w:val="24"/>
        </w:rPr>
      </w:pPr>
      <w:r>
        <w:rPr>
          <w:noProof/>
          <w:lang w:eastAsia="de-DE"/>
        </w:rPr>
        <w:drawing>
          <wp:inline distT="0" distB="0" distL="0" distR="0" wp14:anchorId="4055A12D" wp14:editId="2CFA086A">
            <wp:extent cx="5760720" cy="2453640"/>
            <wp:effectExtent l="0" t="0" r="11430" b="381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699E" w:rsidRDefault="00B3200E" w:rsidP="00401206">
      <w:pPr>
        <w:tabs>
          <w:tab w:val="left" w:pos="2136"/>
        </w:tabs>
        <w:rPr>
          <w:rFonts w:asciiTheme="majorHAnsi" w:hAnsiTheme="majorHAnsi"/>
          <w:sz w:val="24"/>
          <w:szCs w:val="24"/>
        </w:rPr>
      </w:pPr>
      <w:r>
        <w:rPr>
          <w:rFonts w:asciiTheme="majorHAnsi" w:hAnsiTheme="majorHAnsi"/>
          <w:sz w:val="24"/>
          <w:szCs w:val="24"/>
        </w:rPr>
        <w:t xml:space="preserve">Der Eindruck eines schwierigen Rentenübergangs für viele ArbeitnehmerInnen bestätigt sich beim Blick auf die </w:t>
      </w:r>
      <w:r w:rsidRPr="00A37A30">
        <w:rPr>
          <w:rFonts w:asciiTheme="majorHAnsi" w:hAnsiTheme="majorHAnsi"/>
          <w:b/>
          <w:sz w:val="24"/>
          <w:szCs w:val="24"/>
          <w:u w:val="single"/>
        </w:rPr>
        <w:t>Verteilung atypischer Beschäftigungsverhältnisse</w:t>
      </w:r>
      <w:r>
        <w:rPr>
          <w:rFonts w:asciiTheme="majorHAnsi" w:hAnsiTheme="majorHAnsi"/>
          <w:sz w:val="24"/>
          <w:szCs w:val="24"/>
        </w:rPr>
        <w:t xml:space="preserve"> (</w:t>
      </w:r>
      <w:r w:rsidRPr="00B3200E">
        <w:rPr>
          <w:rFonts w:asciiTheme="majorHAnsi" w:hAnsiTheme="majorHAnsi"/>
          <w:color w:val="FF0000"/>
          <w:sz w:val="24"/>
          <w:szCs w:val="24"/>
        </w:rPr>
        <w:t>Frage 8</w:t>
      </w:r>
      <w:r>
        <w:rPr>
          <w:rFonts w:asciiTheme="majorHAnsi" w:hAnsiTheme="majorHAnsi"/>
          <w:sz w:val="24"/>
          <w:szCs w:val="24"/>
        </w:rPr>
        <w:t xml:space="preserve">). </w:t>
      </w:r>
      <w:r w:rsidR="00FB11EC">
        <w:rPr>
          <w:rFonts w:asciiTheme="majorHAnsi" w:hAnsiTheme="majorHAnsi"/>
          <w:sz w:val="24"/>
          <w:szCs w:val="24"/>
        </w:rPr>
        <w:t xml:space="preserve">Dazu zählen Teilzeitbeschäftigungen mit 20 oder weniger Wochenstunden, befristete Beschäftigungen sowie Zeitarbeitsverhältnisse. </w:t>
      </w:r>
      <w:r w:rsidR="00C33819">
        <w:rPr>
          <w:rFonts w:asciiTheme="majorHAnsi" w:hAnsiTheme="majorHAnsi"/>
          <w:sz w:val="24"/>
          <w:szCs w:val="24"/>
        </w:rPr>
        <w:t>Die Bundesregierung verfügt hier über Daten zu den sogenannten Kernerwerbstätigen, also für Erwerbstätige zwischen 15 und 64 Jahren, die nicht in Bildung und Ausbildung oder in einem Freiwilligendienst sind</w:t>
      </w:r>
      <w:r w:rsidR="009D4CBA">
        <w:rPr>
          <w:rFonts w:asciiTheme="majorHAnsi" w:hAnsiTheme="majorHAnsi"/>
          <w:sz w:val="24"/>
          <w:szCs w:val="24"/>
        </w:rPr>
        <w:t xml:space="preserve"> und sich </w:t>
      </w:r>
      <w:r w:rsidR="009D4CBA" w:rsidRPr="009D4CBA">
        <w:rPr>
          <w:rFonts w:asciiTheme="majorHAnsi" w:hAnsiTheme="majorHAnsi"/>
          <w:sz w:val="24"/>
          <w:szCs w:val="24"/>
        </w:rPr>
        <w:t>in einem Lebensabschnitt</w:t>
      </w:r>
      <w:r w:rsidR="009D4CBA">
        <w:rPr>
          <w:rFonts w:asciiTheme="majorHAnsi" w:hAnsiTheme="majorHAnsi"/>
          <w:sz w:val="24"/>
          <w:szCs w:val="24"/>
        </w:rPr>
        <w:t xml:space="preserve"> befinden</w:t>
      </w:r>
      <w:r w:rsidR="009D4CBA" w:rsidRPr="009D4CBA">
        <w:rPr>
          <w:rFonts w:asciiTheme="majorHAnsi" w:hAnsiTheme="majorHAnsi"/>
          <w:sz w:val="24"/>
          <w:szCs w:val="24"/>
        </w:rPr>
        <w:t>, in dem Erwerbsarbeit in deutlich stärkerem Maße als Schwerpunkt der Lebensgestaltung gesehen wird</w:t>
      </w:r>
      <w:r w:rsidR="009D4CBA">
        <w:rPr>
          <w:rFonts w:asciiTheme="majorHAnsi" w:hAnsiTheme="majorHAnsi"/>
          <w:sz w:val="24"/>
          <w:szCs w:val="24"/>
        </w:rPr>
        <w:t xml:space="preserve"> als</w:t>
      </w:r>
      <w:r w:rsidR="009D4CBA" w:rsidRPr="009D4CBA">
        <w:rPr>
          <w:rFonts w:asciiTheme="majorHAnsi" w:hAnsiTheme="majorHAnsi"/>
          <w:sz w:val="24"/>
          <w:szCs w:val="24"/>
        </w:rPr>
        <w:t xml:space="preserve"> während der Ausbildung oder im Ruhestand.</w:t>
      </w:r>
    </w:p>
    <w:p w:rsidR="00384E25" w:rsidRDefault="00BA4AFF" w:rsidP="00401206">
      <w:pPr>
        <w:tabs>
          <w:tab w:val="left" w:pos="2136"/>
        </w:tabs>
        <w:rPr>
          <w:rFonts w:asciiTheme="majorHAnsi" w:hAnsiTheme="majorHAnsi"/>
          <w:sz w:val="24"/>
          <w:szCs w:val="24"/>
        </w:rPr>
      </w:pPr>
      <w:r>
        <w:rPr>
          <w:rFonts w:asciiTheme="majorHAnsi" w:hAnsiTheme="majorHAnsi"/>
          <w:sz w:val="24"/>
          <w:szCs w:val="24"/>
        </w:rPr>
        <w:t>Das Normalarbeitsverhältnis wird demnach mit zunehmendem Alter zwar nicht zur Ausnahme. Je näher die Regelaltersgrenze rückt, desto wahrscheinlicher wird allerdings eine atypische Beschäftigung. Das gilt insbesondere für Frauen, die durch</w:t>
      </w:r>
      <w:r w:rsidR="00AF3827">
        <w:rPr>
          <w:rFonts w:asciiTheme="majorHAnsi" w:hAnsiTheme="majorHAnsi"/>
          <w:sz w:val="24"/>
          <w:szCs w:val="24"/>
        </w:rPr>
        <w:t>schnittlich</w:t>
      </w:r>
      <w:r>
        <w:rPr>
          <w:rFonts w:asciiTheme="majorHAnsi" w:hAnsiTheme="majorHAnsi"/>
          <w:sz w:val="24"/>
          <w:szCs w:val="24"/>
        </w:rPr>
        <w:t xml:space="preserve"> im letzten Jahrzehnt vor der Rente deutlich häufiger irregulär arbeiten als Männer. </w:t>
      </w:r>
    </w:p>
    <w:p w:rsidR="00602C2F" w:rsidRDefault="00602C2F" w:rsidP="00401206">
      <w:pPr>
        <w:tabs>
          <w:tab w:val="left" w:pos="2136"/>
        </w:tabs>
        <w:rPr>
          <w:rFonts w:asciiTheme="majorHAnsi" w:hAnsiTheme="majorHAnsi"/>
          <w:sz w:val="24"/>
          <w:szCs w:val="24"/>
        </w:rPr>
      </w:pPr>
      <w:r>
        <w:rPr>
          <w:noProof/>
          <w:lang w:eastAsia="de-DE"/>
        </w:rPr>
        <w:drawing>
          <wp:inline distT="0" distB="0" distL="0" distR="0" wp14:anchorId="038C4ACD" wp14:editId="182B47A3">
            <wp:extent cx="5760720" cy="3152775"/>
            <wp:effectExtent l="0" t="0" r="11430" b="9525"/>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4E25" w:rsidRDefault="00BD200F" w:rsidP="00401206">
      <w:pPr>
        <w:tabs>
          <w:tab w:val="left" w:pos="2136"/>
        </w:tabs>
        <w:rPr>
          <w:rFonts w:asciiTheme="majorHAnsi" w:hAnsiTheme="majorHAnsi"/>
          <w:sz w:val="24"/>
          <w:szCs w:val="24"/>
        </w:rPr>
      </w:pPr>
      <w:r>
        <w:rPr>
          <w:rFonts w:asciiTheme="majorHAnsi" w:hAnsiTheme="majorHAnsi"/>
          <w:sz w:val="24"/>
          <w:szCs w:val="24"/>
        </w:rPr>
        <w:t xml:space="preserve">Frauen in höherem Lebensalter sind darüber hinaus häufiger von </w:t>
      </w:r>
      <w:r w:rsidRPr="00344484">
        <w:rPr>
          <w:rFonts w:asciiTheme="majorHAnsi" w:hAnsiTheme="majorHAnsi"/>
          <w:b/>
          <w:sz w:val="24"/>
          <w:szCs w:val="24"/>
          <w:u w:val="single"/>
        </w:rPr>
        <w:t>Arbeitslosigkeit</w:t>
      </w:r>
      <w:r>
        <w:rPr>
          <w:rFonts w:asciiTheme="majorHAnsi" w:hAnsiTheme="majorHAnsi"/>
          <w:sz w:val="24"/>
          <w:szCs w:val="24"/>
        </w:rPr>
        <w:t xml:space="preserve"> betroffen als Männer</w:t>
      </w:r>
      <w:r w:rsidR="00B54302">
        <w:rPr>
          <w:rFonts w:asciiTheme="majorHAnsi" w:hAnsiTheme="majorHAnsi"/>
          <w:sz w:val="24"/>
          <w:szCs w:val="24"/>
        </w:rPr>
        <w:t xml:space="preserve"> (siehe </w:t>
      </w:r>
      <w:r w:rsidR="00B54302" w:rsidRPr="00B54302">
        <w:rPr>
          <w:rFonts w:asciiTheme="majorHAnsi" w:hAnsiTheme="majorHAnsi"/>
          <w:color w:val="FF0000"/>
          <w:sz w:val="24"/>
          <w:szCs w:val="24"/>
        </w:rPr>
        <w:t>Frage 13</w:t>
      </w:r>
      <w:r w:rsidR="00B54302">
        <w:rPr>
          <w:rFonts w:asciiTheme="majorHAnsi" w:hAnsiTheme="majorHAnsi"/>
          <w:sz w:val="24"/>
          <w:szCs w:val="24"/>
        </w:rPr>
        <w:t>)</w:t>
      </w:r>
      <w:r>
        <w:rPr>
          <w:rFonts w:asciiTheme="majorHAnsi" w:hAnsiTheme="majorHAnsi"/>
          <w:sz w:val="24"/>
          <w:szCs w:val="24"/>
        </w:rPr>
        <w:t>. Zwar war die Entwicklung der</w:t>
      </w:r>
      <w:r w:rsidR="002E4499">
        <w:rPr>
          <w:rFonts w:asciiTheme="majorHAnsi" w:hAnsiTheme="majorHAnsi"/>
          <w:sz w:val="24"/>
          <w:szCs w:val="24"/>
        </w:rPr>
        <w:t xml:space="preserve"> absoluten</w:t>
      </w:r>
      <w:r>
        <w:rPr>
          <w:rFonts w:asciiTheme="majorHAnsi" w:hAnsiTheme="majorHAnsi"/>
          <w:sz w:val="24"/>
          <w:szCs w:val="24"/>
        </w:rPr>
        <w:t xml:space="preserve"> Arbeitslosenzahlen in den</w:t>
      </w:r>
      <w:r w:rsidR="00B54302">
        <w:rPr>
          <w:rFonts w:asciiTheme="majorHAnsi" w:hAnsiTheme="majorHAnsi"/>
          <w:sz w:val="24"/>
          <w:szCs w:val="24"/>
        </w:rPr>
        <w:t xml:space="preserve"> vergangenen Jahren rückläufig, auch in der Gruppe der </w:t>
      </w:r>
      <w:r w:rsidR="00047AF2">
        <w:rPr>
          <w:rFonts w:asciiTheme="majorHAnsi" w:hAnsiTheme="majorHAnsi"/>
          <w:sz w:val="24"/>
          <w:szCs w:val="24"/>
        </w:rPr>
        <w:t>55-65-Jährigen. Offensichtlich waren Ältere aber spürbar schlechter in Arbeit zu vermitteln als spätere Jahrgänge: So hat der Anteil der 55-65-Jährigen Arbeitslosen an allen Arbeitslosen in den Jahren zwischen 2012 und 2018 zugenommen. Dieser Anteil ist unter älteren Frauen in den neuen Bundesländern besonders hoch und</w:t>
      </w:r>
      <w:r w:rsidR="009C7236">
        <w:rPr>
          <w:rFonts w:asciiTheme="majorHAnsi" w:hAnsiTheme="majorHAnsi"/>
          <w:sz w:val="24"/>
          <w:szCs w:val="24"/>
        </w:rPr>
        <w:t xml:space="preserve"> auch besonders stark gewachsen:</w:t>
      </w:r>
    </w:p>
    <w:p w:rsidR="00153366" w:rsidRDefault="00153366" w:rsidP="00F83EF2">
      <w:pPr>
        <w:tabs>
          <w:tab w:val="left" w:pos="2136"/>
        </w:tabs>
        <w:spacing w:after="240"/>
        <w:rPr>
          <w:rFonts w:asciiTheme="majorHAnsi" w:hAnsiTheme="majorHAnsi"/>
          <w:sz w:val="24"/>
          <w:szCs w:val="24"/>
        </w:rPr>
      </w:pPr>
      <w:r>
        <w:rPr>
          <w:noProof/>
          <w:lang w:eastAsia="de-DE"/>
        </w:rPr>
        <w:drawing>
          <wp:inline distT="0" distB="0" distL="0" distR="0" wp14:anchorId="286AD73A" wp14:editId="60649950">
            <wp:extent cx="5819775" cy="2990850"/>
            <wp:effectExtent l="0" t="0" r="9525" b="0"/>
            <wp:docPr id="11" name="Diagram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452A" w:rsidRDefault="00F83EF2" w:rsidP="00401206">
      <w:pPr>
        <w:tabs>
          <w:tab w:val="left" w:pos="2136"/>
        </w:tabs>
        <w:rPr>
          <w:rFonts w:asciiTheme="majorHAnsi" w:hAnsiTheme="majorHAnsi"/>
          <w:sz w:val="24"/>
          <w:szCs w:val="24"/>
        </w:rPr>
      </w:pPr>
      <w:r>
        <w:rPr>
          <w:rFonts w:asciiTheme="majorHAnsi" w:hAnsiTheme="majorHAnsi"/>
          <w:sz w:val="24"/>
          <w:szCs w:val="24"/>
        </w:rPr>
        <w:t xml:space="preserve">Wer </w:t>
      </w:r>
      <w:r w:rsidR="00B56E79">
        <w:rPr>
          <w:rFonts w:asciiTheme="majorHAnsi" w:hAnsiTheme="majorHAnsi"/>
          <w:sz w:val="24"/>
          <w:szCs w:val="24"/>
        </w:rPr>
        <w:t xml:space="preserve">in den Jahren vor der Rente </w:t>
      </w:r>
      <w:r>
        <w:rPr>
          <w:rFonts w:asciiTheme="majorHAnsi" w:hAnsiTheme="majorHAnsi"/>
          <w:sz w:val="24"/>
          <w:szCs w:val="24"/>
        </w:rPr>
        <w:t xml:space="preserve">arbeitslos ist, hat es häufig schwer, wieder eine Beschäftigung </w:t>
      </w:r>
      <w:r w:rsidR="00A506C3">
        <w:rPr>
          <w:rFonts w:asciiTheme="majorHAnsi" w:hAnsiTheme="majorHAnsi"/>
          <w:sz w:val="24"/>
          <w:szCs w:val="24"/>
        </w:rPr>
        <w:t xml:space="preserve">oder eine Form von Ausbildung </w:t>
      </w:r>
      <w:r>
        <w:rPr>
          <w:rFonts w:asciiTheme="majorHAnsi" w:hAnsiTheme="majorHAnsi"/>
          <w:sz w:val="24"/>
          <w:szCs w:val="24"/>
        </w:rPr>
        <w:t xml:space="preserve">aufzunehmen, siehe Antwort der Bundesregierung auf </w:t>
      </w:r>
      <w:r w:rsidRPr="00FF2882">
        <w:rPr>
          <w:rFonts w:asciiTheme="majorHAnsi" w:hAnsiTheme="majorHAnsi"/>
          <w:color w:val="FF0000"/>
          <w:sz w:val="24"/>
          <w:szCs w:val="24"/>
        </w:rPr>
        <w:t>Frage 14</w:t>
      </w:r>
      <w:r>
        <w:rPr>
          <w:rFonts w:asciiTheme="majorHAnsi" w:hAnsiTheme="majorHAnsi"/>
          <w:sz w:val="24"/>
          <w:szCs w:val="24"/>
        </w:rPr>
        <w:t xml:space="preserve">. </w:t>
      </w:r>
      <w:r w:rsidR="00A506C3">
        <w:rPr>
          <w:rFonts w:asciiTheme="majorHAnsi" w:hAnsiTheme="majorHAnsi"/>
          <w:sz w:val="24"/>
          <w:szCs w:val="24"/>
        </w:rPr>
        <w:t xml:space="preserve">Demnach </w:t>
      </w:r>
      <w:r w:rsidR="006109CD">
        <w:rPr>
          <w:rFonts w:asciiTheme="majorHAnsi" w:hAnsiTheme="majorHAnsi"/>
          <w:sz w:val="24"/>
          <w:szCs w:val="24"/>
        </w:rPr>
        <w:t>fanden</w:t>
      </w:r>
      <w:r w:rsidR="00A506C3">
        <w:rPr>
          <w:rFonts w:asciiTheme="majorHAnsi" w:hAnsiTheme="majorHAnsi"/>
          <w:sz w:val="24"/>
          <w:szCs w:val="24"/>
        </w:rPr>
        <w:t xml:space="preserve"> von insgesamt 1,11 Millionen </w:t>
      </w:r>
      <w:r w:rsidR="00A506C3" w:rsidRPr="00BE6FF0">
        <w:rPr>
          <w:rFonts w:asciiTheme="majorHAnsi" w:hAnsiTheme="majorHAnsi"/>
          <w:b/>
          <w:sz w:val="24"/>
          <w:szCs w:val="24"/>
          <w:u w:val="single"/>
        </w:rPr>
        <w:t>Abgängen aus Arbeitslosigkeit</w:t>
      </w:r>
      <w:r w:rsidR="00A506C3">
        <w:rPr>
          <w:rFonts w:asciiTheme="majorHAnsi" w:hAnsiTheme="majorHAnsi"/>
          <w:sz w:val="24"/>
          <w:szCs w:val="24"/>
        </w:rPr>
        <w:t xml:space="preserve"> lediglich rund 422.000 (38,1 Prozent)</w:t>
      </w:r>
      <w:r w:rsidR="006109CD">
        <w:rPr>
          <w:rFonts w:asciiTheme="majorHAnsi" w:hAnsiTheme="majorHAnsi"/>
          <w:sz w:val="24"/>
          <w:szCs w:val="24"/>
        </w:rPr>
        <w:t xml:space="preserve"> der Menschen einen</w:t>
      </w:r>
      <w:r w:rsidR="00A506C3">
        <w:rPr>
          <w:rFonts w:asciiTheme="majorHAnsi" w:hAnsiTheme="majorHAnsi"/>
          <w:sz w:val="24"/>
          <w:szCs w:val="24"/>
        </w:rPr>
        <w:t xml:space="preserve"> Weg in einen Job oder in eine arbeitsmarktpolitische Maßnahme/sonstige Ausbildung. </w:t>
      </w:r>
      <w:r w:rsidR="00A434E9">
        <w:rPr>
          <w:rFonts w:asciiTheme="majorHAnsi" w:hAnsiTheme="majorHAnsi"/>
          <w:sz w:val="24"/>
          <w:szCs w:val="24"/>
        </w:rPr>
        <w:t>55,7 Prozent der Abgänge erfolgten dagegen in Nicht-Erwerbstätigkeit (davon gi</w:t>
      </w:r>
      <w:r w:rsidR="005966BA">
        <w:rPr>
          <w:rFonts w:asciiTheme="majorHAnsi" w:hAnsiTheme="majorHAnsi"/>
          <w:sz w:val="24"/>
          <w:szCs w:val="24"/>
        </w:rPr>
        <w:t>ngen rund 60.000 in Rente):</w:t>
      </w:r>
    </w:p>
    <w:p w:rsidR="00384E25" w:rsidRPr="00401206" w:rsidRDefault="0085217A" w:rsidP="00401206">
      <w:pPr>
        <w:tabs>
          <w:tab w:val="left" w:pos="2136"/>
        </w:tabs>
        <w:rPr>
          <w:rFonts w:asciiTheme="majorHAnsi" w:hAnsiTheme="majorHAnsi"/>
          <w:sz w:val="24"/>
          <w:szCs w:val="24"/>
        </w:rPr>
      </w:pPr>
      <w:r>
        <w:rPr>
          <w:noProof/>
          <w:lang w:eastAsia="de-DE"/>
        </w:rPr>
        <w:drawing>
          <wp:inline distT="0" distB="0" distL="0" distR="0" wp14:anchorId="0A4E46D2" wp14:editId="23C0859E">
            <wp:extent cx="5819775" cy="2743200"/>
            <wp:effectExtent l="0" t="0" r="9525" b="0"/>
            <wp:docPr id="15" name="Diagram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384E25" w:rsidRPr="00401206">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C11" w:rsidRDefault="009E6C11" w:rsidP="009E6C11">
      <w:pPr>
        <w:spacing w:after="0" w:line="240" w:lineRule="auto"/>
      </w:pPr>
      <w:r>
        <w:separator/>
      </w:r>
    </w:p>
  </w:endnote>
  <w:endnote w:type="continuationSeparator" w:id="0">
    <w:p w:rsidR="009E6C11" w:rsidRDefault="009E6C11" w:rsidP="009E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401762"/>
      <w:docPartObj>
        <w:docPartGallery w:val="Page Numbers (Bottom of Page)"/>
        <w:docPartUnique/>
      </w:docPartObj>
    </w:sdtPr>
    <w:sdtEndPr/>
    <w:sdtContent>
      <w:p w:rsidR="002A60E6" w:rsidRDefault="002A60E6">
        <w:pPr>
          <w:pStyle w:val="Fuzeile"/>
          <w:jc w:val="right"/>
        </w:pPr>
        <w:r>
          <w:fldChar w:fldCharType="begin"/>
        </w:r>
        <w:r>
          <w:instrText>PAGE   \* MERGEFORMAT</w:instrText>
        </w:r>
        <w:r>
          <w:fldChar w:fldCharType="separate"/>
        </w:r>
        <w:r w:rsidR="00806537">
          <w:rPr>
            <w:noProof/>
          </w:rPr>
          <w:t>6</w:t>
        </w:r>
        <w:r>
          <w:fldChar w:fldCharType="end"/>
        </w:r>
      </w:p>
    </w:sdtContent>
  </w:sdt>
  <w:p w:rsidR="002A60E6" w:rsidRDefault="002A60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C11" w:rsidRDefault="009E6C11" w:rsidP="009E6C11">
      <w:pPr>
        <w:spacing w:after="0" w:line="240" w:lineRule="auto"/>
      </w:pPr>
      <w:r>
        <w:separator/>
      </w:r>
    </w:p>
  </w:footnote>
  <w:footnote w:type="continuationSeparator" w:id="0">
    <w:p w:rsidR="009E6C11" w:rsidRDefault="009E6C11" w:rsidP="009E6C11">
      <w:pPr>
        <w:spacing w:after="0" w:line="240" w:lineRule="auto"/>
      </w:pPr>
      <w:r>
        <w:continuationSeparator/>
      </w:r>
    </w:p>
  </w:footnote>
  <w:footnote w:id="1">
    <w:p w:rsidR="00B80FB8" w:rsidRDefault="00B80FB8">
      <w:pPr>
        <w:pStyle w:val="Funotentext"/>
      </w:pPr>
      <w:r>
        <w:rPr>
          <w:rStyle w:val="Funotenzeichen"/>
        </w:rPr>
        <w:footnoteRef/>
      </w:r>
      <w:r>
        <w:t xml:space="preserve"> Den Bericht der Bundesregierung können Sie hier herunterladen: </w:t>
      </w:r>
      <w:hyperlink r:id="rId1" w:history="1">
        <w:r w:rsidRPr="00FC397D">
          <w:rPr>
            <w:rStyle w:val="Hyperlink"/>
          </w:rPr>
          <w:t>https://www.bmas.de/SharedDocs/Downloads/DE/Thema-Rente/bericht-anhebung-regelaltersgrenzen.pdf?__blob=publicationFile&amp;v=3</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11" w:rsidRDefault="009E6C11" w:rsidP="009E6C11">
    <w:pPr>
      <w:pStyle w:val="Kopfzeile"/>
      <w:jc w:val="right"/>
    </w:pPr>
    <w:r>
      <w:t xml:space="preserve">Markus Kurth MdB, </w:t>
    </w:r>
    <w:r w:rsidR="00806537">
      <w:t>7</w:t>
    </w:r>
    <w:r>
      <w:t>. Februar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11"/>
    <w:rsid w:val="000159B2"/>
    <w:rsid w:val="00027253"/>
    <w:rsid w:val="00030178"/>
    <w:rsid w:val="00040690"/>
    <w:rsid w:val="00045DE9"/>
    <w:rsid w:val="00047AF2"/>
    <w:rsid w:val="00076B6F"/>
    <w:rsid w:val="000B2CBD"/>
    <w:rsid w:val="000D1A80"/>
    <w:rsid w:val="000F02CD"/>
    <w:rsid w:val="000F1245"/>
    <w:rsid w:val="000F3644"/>
    <w:rsid w:val="00100A3C"/>
    <w:rsid w:val="00120081"/>
    <w:rsid w:val="00123B20"/>
    <w:rsid w:val="00132061"/>
    <w:rsid w:val="00141452"/>
    <w:rsid w:val="001436FB"/>
    <w:rsid w:val="00152337"/>
    <w:rsid w:val="00153366"/>
    <w:rsid w:val="00153FB7"/>
    <w:rsid w:val="00154FAB"/>
    <w:rsid w:val="0016200A"/>
    <w:rsid w:val="00177BDA"/>
    <w:rsid w:val="0019623A"/>
    <w:rsid w:val="001B2DC0"/>
    <w:rsid w:val="001B3E4D"/>
    <w:rsid w:val="001B5FEB"/>
    <w:rsid w:val="001C1763"/>
    <w:rsid w:val="001C4B84"/>
    <w:rsid w:val="001E2833"/>
    <w:rsid w:val="001E37E0"/>
    <w:rsid w:val="001F1F3A"/>
    <w:rsid w:val="001F7219"/>
    <w:rsid w:val="00213B36"/>
    <w:rsid w:val="002448A2"/>
    <w:rsid w:val="002463A1"/>
    <w:rsid w:val="00252886"/>
    <w:rsid w:val="00257A57"/>
    <w:rsid w:val="00280A5C"/>
    <w:rsid w:val="00280A90"/>
    <w:rsid w:val="0029105C"/>
    <w:rsid w:val="00294B16"/>
    <w:rsid w:val="00297BF4"/>
    <w:rsid w:val="00297D1E"/>
    <w:rsid w:val="002A60E6"/>
    <w:rsid w:val="002A6A84"/>
    <w:rsid w:val="002B0B28"/>
    <w:rsid w:val="002B17BD"/>
    <w:rsid w:val="002B18B4"/>
    <w:rsid w:val="002B7728"/>
    <w:rsid w:val="002C3A3F"/>
    <w:rsid w:val="002C6BB9"/>
    <w:rsid w:val="002E4499"/>
    <w:rsid w:val="002F5683"/>
    <w:rsid w:val="0030720E"/>
    <w:rsid w:val="00330A4B"/>
    <w:rsid w:val="00337544"/>
    <w:rsid w:val="00344484"/>
    <w:rsid w:val="00384D95"/>
    <w:rsid w:val="00384E25"/>
    <w:rsid w:val="003933FE"/>
    <w:rsid w:val="00397538"/>
    <w:rsid w:val="003A1888"/>
    <w:rsid w:val="00401206"/>
    <w:rsid w:val="00401C8E"/>
    <w:rsid w:val="00427DDA"/>
    <w:rsid w:val="00452F13"/>
    <w:rsid w:val="00456877"/>
    <w:rsid w:val="00480106"/>
    <w:rsid w:val="0048735D"/>
    <w:rsid w:val="004A4E7E"/>
    <w:rsid w:val="004A7D94"/>
    <w:rsid w:val="004C7C4F"/>
    <w:rsid w:val="004D12D8"/>
    <w:rsid w:val="004E062D"/>
    <w:rsid w:val="004F4360"/>
    <w:rsid w:val="00503E5D"/>
    <w:rsid w:val="00514C9E"/>
    <w:rsid w:val="00526E56"/>
    <w:rsid w:val="00536E5A"/>
    <w:rsid w:val="00562E08"/>
    <w:rsid w:val="00573C16"/>
    <w:rsid w:val="005935D5"/>
    <w:rsid w:val="005966BA"/>
    <w:rsid w:val="005A6901"/>
    <w:rsid w:val="005A771C"/>
    <w:rsid w:val="005B409A"/>
    <w:rsid w:val="005C2902"/>
    <w:rsid w:val="005F7B0C"/>
    <w:rsid w:val="00601773"/>
    <w:rsid w:val="00602C2F"/>
    <w:rsid w:val="006105FF"/>
    <w:rsid w:val="006109CD"/>
    <w:rsid w:val="0061182B"/>
    <w:rsid w:val="00626D22"/>
    <w:rsid w:val="00631CA2"/>
    <w:rsid w:val="00643FB3"/>
    <w:rsid w:val="00647203"/>
    <w:rsid w:val="00653231"/>
    <w:rsid w:val="00654028"/>
    <w:rsid w:val="00654524"/>
    <w:rsid w:val="00674731"/>
    <w:rsid w:val="00674BE3"/>
    <w:rsid w:val="006A1969"/>
    <w:rsid w:val="006B111B"/>
    <w:rsid w:val="006C55AC"/>
    <w:rsid w:val="006D61C4"/>
    <w:rsid w:val="006D642C"/>
    <w:rsid w:val="006E33CB"/>
    <w:rsid w:val="006F018C"/>
    <w:rsid w:val="006F1FEE"/>
    <w:rsid w:val="006F3146"/>
    <w:rsid w:val="00702239"/>
    <w:rsid w:val="007146CA"/>
    <w:rsid w:val="007328FA"/>
    <w:rsid w:val="00732D6F"/>
    <w:rsid w:val="00733F5F"/>
    <w:rsid w:val="0073718C"/>
    <w:rsid w:val="00745C0F"/>
    <w:rsid w:val="007530E4"/>
    <w:rsid w:val="00770D97"/>
    <w:rsid w:val="007772FA"/>
    <w:rsid w:val="00787AB3"/>
    <w:rsid w:val="00792987"/>
    <w:rsid w:val="0079375B"/>
    <w:rsid w:val="00794F18"/>
    <w:rsid w:val="007B2A9E"/>
    <w:rsid w:val="007B5E07"/>
    <w:rsid w:val="007D3AA9"/>
    <w:rsid w:val="007D5689"/>
    <w:rsid w:val="007E1751"/>
    <w:rsid w:val="00806537"/>
    <w:rsid w:val="00812632"/>
    <w:rsid w:val="00836567"/>
    <w:rsid w:val="008436E7"/>
    <w:rsid w:val="0085217A"/>
    <w:rsid w:val="0085403D"/>
    <w:rsid w:val="008813CF"/>
    <w:rsid w:val="00881711"/>
    <w:rsid w:val="008908C3"/>
    <w:rsid w:val="0089246D"/>
    <w:rsid w:val="00894EAC"/>
    <w:rsid w:val="008B135A"/>
    <w:rsid w:val="008B45C9"/>
    <w:rsid w:val="008D6700"/>
    <w:rsid w:val="008D7A0C"/>
    <w:rsid w:val="00955275"/>
    <w:rsid w:val="00957FCA"/>
    <w:rsid w:val="009637C9"/>
    <w:rsid w:val="00970E04"/>
    <w:rsid w:val="00987389"/>
    <w:rsid w:val="009961E8"/>
    <w:rsid w:val="00996DAF"/>
    <w:rsid w:val="009A265F"/>
    <w:rsid w:val="009B2345"/>
    <w:rsid w:val="009C0105"/>
    <w:rsid w:val="009C3191"/>
    <w:rsid w:val="009C7236"/>
    <w:rsid w:val="009D4CBA"/>
    <w:rsid w:val="009D63B0"/>
    <w:rsid w:val="009E2CB9"/>
    <w:rsid w:val="009E6C11"/>
    <w:rsid w:val="00A10F62"/>
    <w:rsid w:val="00A112C7"/>
    <w:rsid w:val="00A20CE7"/>
    <w:rsid w:val="00A37A30"/>
    <w:rsid w:val="00A434E9"/>
    <w:rsid w:val="00A440FB"/>
    <w:rsid w:val="00A506C3"/>
    <w:rsid w:val="00A74963"/>
    <w:rsid w:val="00A761ED"/>
    <w:rsid w:val="00A8533C"/>
    <w:rsid w:val="00A93CB6"/>
    <w:rsid w:val="00AA63A1"/>
    <w:rsid w:val="00AB5E5C"/>
    <w:rsid w:val="00AD1A49"/>
    <w:rsid w:val="00AE452A"/>
    <w:rsid w:val="00AF1BA6"/>
    <w:rsid w:val="00AF3827"/>
    <w:rsid w:val="00B00880"/>
    <w:rsid w:val="00B11E32"/>
    <w:rsid w:val="00B24136"/>
    <w:rsid w:val="00B3200E"/>
    <w:rsid w:val="00B54302"/>
    <w:rsid w:val="00B56E79"/>
    <w:rsid w:val="00B6710D"/>
    <w:rsid w:val="00B80FB8"/>
    <w:rsid w:val="00BA4AFF"/>
    <w:rsid w:val="00BB1068"/>
    <w:rsid w:val="00BD200F"/>
    <w:rsid w:val="00BD35EC"/>
    <w:rsid w:val="00BE6A2D"/>
    <w:rsid w:val="00BE6FF0"/>
    <w:rsid w:val="00C01AF2"/>
    <w:rsid w:val="00C202A3"/>
    <w:rsid w:val="00C31F58"/>
    <w:rsid w:val="00C321FA"/>
    <w:rsid w:val="00C33819"/>
    <w:rsid w:val="00C460D9"/>
    <w:rsid w:val="00C47683"/>
    <w:rsid w:val="00C5526C"/>
    <w:rsid w:val="00C60873"/>
    <w:rsid w:val="00C66C52"/>
    <w:rsid w:val="00C72D81"/>
    <w:rsid w:val="00C808B6"/>
    <w:rsid w:val="00C8740F"/>
    <w:rsid w:val="00C96A2D"/>
    <w:rsid w:val="00CA1937"/>
    <w:rsid w:val="00CB054E"/>
    <w:rsid w:val="00CC321A"/>
    <w:rsid w:val="00CC5A27"/>
    <w:rsid w:val="00CC674C"/>
    <w:rsid w:val="00CD6570"/>
    <w:rsid w:val="00CF1E8C"/>
    <w:rsid w:val="00CF7A01"/>
    <w:rsid w:val="00D47E9A"/>
    <w:rsid w:val="00D638D2"/>
    <w:rsid w:val="00D7387C"/>
    <w:rsid w:val="00D74109"/>
    <w:rsid w:val="00DB13EE"/>
    <w:rsid w:val="00DB34FF"/>
    <w:rsid w:val="00DC6D7B"/>
    <w:rsid w:val="00DD0141"/>
    <w:rsid w:val="00DD6697"/>
    <w:rsid w:val="00DF255A"/>
    <w:rsid w:val="00E123CA"/>
    <w:rsid w:val="00E226D2"/>
    <w:rsid w:val="00E25528"/>
    <w:rsid w:val="00E31DB2"/>
    <w:rsid w:val="00E34F55"/>
    <w:rsid w:val="00E462C5"/>
    <w:rsid w:val="00E46B39"/>
    <w:rsid w:val="00E54E4A"/>
    <w:rsid w:val="00E552BD"/>
    <w:rsid w:val="00E62F18"/>
    <w:rsid w:val="00E6496F"/>
    <w:rsid w:val="00E72199"/>
    <w:rsid w:val="00EA3CA7"/>
    <w:rsid w:val="00EA6FF1"/>
    <w:rsid w:val="00EB3198"/>
    <w:rsid w:val="00EB51E7"/>
    <w:rsid w:val="00F02D47"/>
    <w:rsid w:val="00F148F1"/>
    <w:rsid w:val="00F2225A"/>
    <w:rsid w:val="00F3699E"/>
    <w:rsid w:val="00F40473"/>
    <w:rsid w:val="00F65EC8"/>
    <w:rsid w:val="00F7076C"/>
    <w:rsid w:val="00F735E1"/>
    <w:rsid w:val="00F75ADF"/>
    <w:rsid w:val="00F83EF2"/>
    <w:rsid w:val="00F9701B"/>
    <w:rsid w:val="00FB11EC"/>
    <w:rsid w:val="00FB57D0"/>
    <w:rsid w:val="00FC5521"/>
    <w:rsid w:val="00FD424B"/>
    <w:rsid w:val="00FD5FFD"/>
    <w:rsid w:val="00FD749F"/>
    <w:rsid w:val="00FF2882"/>
    <w:rsid w:val="00FF41D9"/>
    <w:rsid w:val="00FF5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C7EE4-3347-4EE2-BF0B-1CCF7EBC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6C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6C11"/>
  </w:style>
  <w:style w:type="paragraph" w:styleId="Fuzeile">
    <w:name w:val="footer"/>
    <w:basedOn w:val="Standard"/>
    <w:link w:val="FuzeileZchn"/>
    <w:uiPriority w:val="99"/>
    <w:unhideWhenUsed/>
    <w:rsid w:val="009E6C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6C11"/>
  </w:style>
  <w:style w:type="paragraph" w:styleId="Funotentext">
    <w:name w:val="footnote text"/>
    <w:basedOn w:val="Standard"/>
    <w:link w:val="FunotentextZchn"/>
    <w:uiPriority w:val="99"/>
    <w:semiHidden/>
    <w:unhideWhenUsed/>
    <w:rsid w:val="00B80FB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80FB8"/>
    <w:rPr>
      <w:sz w:val="20"/>
      <w:szCs w:val="20"/>
    </w:rPr>
  </w:style>
  <w:style w:type="character" w:styleId="Funotenzeichen">
    <w:name w:val="footnote reference"/>
    <w:basedOn w:val="Absatz-Standardschriftart"/>
    <w:uiPriority w:val="99"/>
    <w:semiHidden/>
    <w:unhideWhenUsed/>
    <w:rsid w:val="00B80FB8"/>
    <w:rPr>
      <w:vertAlign w:val="superscript"/>
    </w:rPr>
  </w:style>
  <w:style w:type="character" w:styleId="Hyperlink">
    <w:name w:val="Hyperlink"/>
    <w:basedOn w:val="Absatz-Standardschriftart"/>
    <w:uiPriority w:val="99"/>
    <w:unhideWhenUsed/>
    <w:rsid w:val="00B80FB8"/>
    <w:rPr>
      <w:color w:val="0563C1" w:themeColor="hyperlink"/>
      <w:u w:val="single"/>
    </w:rPr>
  </w:style>
  <w:style w:type="paragraph" w:styleId="Sprechblasentext">
    <w:name w:val="Balloon Text"/>
    <w:basedOn w:val="Standard"/>
    <w:link w:val="SprechblasentextZchn"/>
    <w:uiPriority w:val="99"/>
    <w:semiHidden/>
    <w:unhideWhenUsed/>
    <w:rsid w:val="00AA63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6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footnotes.xml.rels><?xml version="1.0" encoding="UTF-8" standalone="yes"?>
<Relationships xmlns="http://schemas.openxmlformats.org/package/2006/relationships"><Relationship Id="rId1" Type="http://schemas.openxmlformats.org/officeDocument/2006/relationships/hyperlink" Target="https://www.bmas.de/SharedDocs/Downloads/DE/Thema-Rente/bericht-anhebung-regelaltersgrenzen.pdf?__blob=publicationFile&amp;v=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Arbeitsblat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Arbeitsblat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Arbeitsblatt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Arbeitsblat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Arbeitsblat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PARLAMENT\Daten\MdB_kurthma_verschluesselt\B&#252;ro\MA01\Themen\Rentenpolitik\Rente%20ab%2067\190131%20Grafische%20Auswertung%20zur%20KA%20Rente%20mit%206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Arbeitsblat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Arbeitsblat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Arbeitsblat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de-DE" sz="1200"/>
              <a:t>Zahl der 55-65-Jährigen</a:t>
            </a:r>
            <a:r>
              <a:rPr lang="de-DE" sz="1200" baseline="0"/>
              <a:t> nach einzelnen Jahren, 2012 bis 2017</a:t>
            </a:r>
            <a:endParaRPr lang="de-DE"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Bevölkerung!$B$1</c:f>
              <c:strCache>
                <c:ptCount val="1"/>
                <c:pt idx="0">
                  <c:v>55 Jahre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Bevölkerung!$A$2:$A$7</c:f>
              <c:numCache>
                <c:formatCode>General</c:formatCode>
                <c:ptCount val="6"/>
                <c:pt idx="0">
                  <c:v>2012</c:v>
                </c:pt>
                <c:pt idx="1">
                  <c:v>2013</c:v>
                </c:pt>
                <c:pt idx="2">
                  <c:v>2014</c:v>
                </c:pt>
                <c:pt idx="3">
                  <c:v>2015</c:v>
                </c:pt>
                <c:pt idx="4">
                  <c:v>2016</c:v>
                </c:pt>
                <c:pt idx="5">
                  <c:v>2017</c:v>
                </c:pt>
              </c:numCache>
            </c:numRef>
          </c:cat>
          <c:val>
            <c:numRef>
              <c:f>Bevölkerung!$B$2:$B$7</c:f>
              <c:numCache>
                <c:formatCode>#,##0</c:formatCode>
                <c:ptCount val="6"/>
                <c:pt idx="0">
                  <c:v>1175714</c:v>
                </c:pt>
                <c:pt idx="1">
                  <c:v>1198221</c:v>
                </c:pt>
                <c:pt idx="2">
                  <c:v>1265624</c:v>
                </c:pt>
                <c:pt idx="3">
                  <c:v>1299396</c:v>
                </c:pt>
                <c:pt idx="4">
                  <c:v>1340408</c:v>
                </c:pt>
                <c:pt idx="5">
                  <c:v>1357082</c:v>
                </c:pt>
              </c:numCache>
            </c:numRef>
          </c:val>
          <c:smooth val="0"/>
        </c:ser>
        <c:ser>
          <c:idx val="1"/>
          <c:order val="1"/>
          <c:tx>
            <c:strRef>
              <c:f>Bevölkerung!$C$1</c:f>
              <c:strCache>
                <c:ptCount val="1"/>
                <c:pt idx="0">
                  <c:v>60 Jahre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Bevölkerung!$A$2:$A$7</c:f>
              <c:numCache>
                <c:formatCode>General</c:formatCode>
                <c:ptCount val="6"/>
                <c:pt idx="0">
                  <c:v>2012</c:v>
                </c:pt>
                <c:pt idx="1">
                  <c:v>2013</c:v>
                </c:pt>
                <c:pt idx="2">
                  <c:v>2014</c:v>
                </c:pt>
                <c:pt idx="3">
                  <c:v>2015</c:v>
                </c:pt>
                <c:pt idx="4">
                  <c:v>2016</c:v>
                </c:pt>
                <c:pt idx="5">
                  <c:v>2017</c:v>
                </c:pt>
              </c:numCache>
            </c:numRef>
          </c:cat>
          <c:val>
            <c:numRef>
              <c:f>Bevölkerung!$C$2:$C$7</c:f>
              <c:numCache>
                <c:formatCode>#,##0</c:formatCode>
                <c:ptCount val="6"/>
                <c:pt idx="0">
                  <c:v>1048257</c:v>
                </c:pt>
                <c:pt idx="1">
                  <c:v>1043640</c:v>
                </c:pt>
                <c:pt idx="2">
                  <c:v>1072820</c:v>
                </c:pt>
                <c:pt idx="3">
                  <c:v>1088896</c:v>
                </c:pt>
                <c:pt idx="4">
                  <c:v>1117653</c:v>
                </c:pt>
                <c:pt idx="5">
                  <c:v>1144314</c:v>
                </c:pt>
              </c:numCache>
            </c:numRef>
          </c:val>
          <c:smooth val="0"/>
        </c:ser>
        <c:ser>
          <c:idx val="2"/>
          <c:order val="2"/>
          <c:tx>
            <c:strRef>
              <c:f>Bevölkerung!$D$1</c:f>
              <c:strCache>
                <c:ptCount val="1"/>
                <c:pt idx="0">
                  <c:v>63 Jahre</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cat>
            <c:numRef>
              <c:f>Bevölkerung!$A$2:$A$7</c:f>
              <c:numCache>
                <c:formatCode>General</c:formatCode>
                <c:ptCount val="6"/>
                <c:pt idx="0">
                  <c:v>2012</c:v>
                </c:pt>
                <c:pt idx="1">
                  <c:v>2013</c:v>
                </c:pt>
                <c:pt idx="2">
                  <c:v>2014</c:v>
                </c:pt>
                <c:pt idx="3">
                  <c:v>2015</c:v>
                </c:pt>
                <c:pt idx="4">
                  <c:v>2016</c:v>
                </c:pt>
                <c:pt idx="5">
                  <c:v>2017</c:v>
                </c:pt>
              </c:numCache>
            </c:numRef>
          </c:cat>
          <c:val>
            <c:numRef>
              <c:f>Bevölkerung!$D$2:$D$7</c:f>
              <c:numCache>
                <c:formatCode>#,##0</c:formatCode>
                <c:ptCount val="6"/>
                <c:pt idx="0">
                  <c:v>989099</c:v>
                </c:pt>
                <c:pt idx="1">
                  <c:v>1014482</c:v>
                </c:pt>
                <c:pt idx="2">
                  <c:v>1008255</c:v>
                </c:pt>
                <c:pt idx="3">
                  <c:v>1022255</c:v>
                </c:pt>
                <c:pt idx="4">
                  <c:v>1017147</c:v>
                </c:pt>
                <c:pt idx="5">
                  <c:v>1045334</c:v>
                </c:pt>
              </c:numCache>
            </c:numRef>
          </c:val>
          <c:smooth val="0"/>
        </c:ser>
        <c:ser>
          <c:idx val="3"/>
          <c:order val="3"/>
          <c:tx>
            <c:strRef>
              <c:f>Bevölkerung!$E$1</c:f>
              <c:strCache>
                <c:ptCount val="1"/>
                <c:pt idx="0">
                  <c:v>64 Jahre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Bevölkerung!$A$2:$A$7</c:f>
              <c:numCache>
                <c:formatCode>General</c:formatCode>
                <c:ptCount val="6"/>
                <c:pt idx="0">
                  <c:v>2012</c:v>
                </c:pt>
                <c:pt idx="1">
                  <c:v>2013</c:v>
                </c:pt>
                <c:pt idx="2">
                  <c:v>2014</c:v>
                </c:pt>
                <c:pt idx="3">
                  <c:v>2015</c:v>
                </c:pt>
                <c:pt idx="4">
                  <c:v>2016</c:v>
                </c:pt>
                <c:pt idx="5">
                  <c:v>2017</c:v>
                </c:pt>
              </c:numCache>
            </c:numRef>
          </c:cat>
          <c:val>
            <c:numRef>
              <c:f>Bevölkerung!$E$2:$E$7</c:f>
              <c:numCache>
                <c:formatCode>#,##0</c:formatCode>
                <c:ptCount val="6"/>
                <c:pt idx="0">
                  <c:v>901914</c:v>
                </c:pt>
                <c:pt idx="1">
                  <c:v>978884</c:v>
                </c:pt>
                <c:pt idx="2">
                  <c:v>1004536</c:v>
                </c:pt>
                <c:pt idx="3">
                  <c:v>998165</c:v>
                </c:pt>
                <c:pt idx="4">
                  <c:v>1011191</c:v>
                </c:pt>
                <c:pt idx="5">
                  <c:v>1006399</c:v>
                </c:pt>
              </c:numCache>
            </c:numRef>
          </c:val>
          <c:smooth val="0"/>
        </c:ser>
        <c:ser>
          <c:idx val="4"/>
          <c:order val="4"/>
          <c:tx>
            <c:strRef>
              <c:f>Bevölkerung!$F$1</c:f>
              <c:strCache>
                <c:ptCount val="1"/>
                <c:pt idx="0">
                  <c:v>65 Jahre</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numRef>
              <c:f>Bevölkerung!$A$2:$A$7</c:f>
              <c:numCache>
                <c:formatCode>General</c:formatCode>
                <c:ptCount val="6"/>
                <c:pt idx="0">
                  <c:v>2012</c:v>
                </c:pt>
                <c:pt idx="1">
                  <c:v>2013</c:v>
                </c:pt>
                <c:pt idx="2">
                  <c:v>2014</c:v>
                </c:pt>
                <c:pt idx="3">
                  <c:v>2015</c:v>
                </c:pt>
                <c:pt idx="4">
                  <c:v>2016</c:v>
                </c:pt>
                <c:pt idx="5">
                  <c:v>2017</c:v>
                </c:pt>
              </c:numCache>
            </c:numRef>
          </c:cat>
          <c:val>
            <c:numRef>
              <c:f>Bevölkerung!$F$2:$F$7</c:f>
              <c:numCache>
                <c:formatCode>#,##0</c:formatCode>
                <c:ptCount val="6"/>
                <c:pt idx="0">
                  <c:v>844569</c:v>
                </c:pt>
                <c:pt idx="1">
                  <c:v>891371</c:v>
                </c:pt>
                <c:pt idx="2">
                  <c:v>967820</c:v>
                </c:pt>
                <c:pt idx="3">
                  <c:v>993544</c:v>
                </c:pt>
                <c:pt idx="4">
                  <c:v>986117</c:v>
                </c:pt>
                <c:pt idx="5">
                  <c:v>999682</c:v>
                </c:pt>
              </c:numCache>
            </c:numRef>
          </c:val>
          <c:smooth val="0"/>
        </c:ser>
        <c:dLbls>
          <c:showLegendKey val="0"/>
          <c:showVal val="0"/>
          <c:showCatName val="0"/>
          <c:showSerName val="0"/>
          <c:showPercent val="0"/>
          <c:showBubbleSize val="0"/>
        </c:dLbls>
        <c:marker val="1"/>
        <c:smooth val="0"/>
        <c:axId val="405806112"/>
        <c:axId val="405805720"/>
      </c:lineChart>
      <c:catAx>
        <c:axId val="40580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05805720"/>
        <c:crosses val="autoZero"/>
        <c:auto val="1"/>
        <c:lblAlgn val="ctr"/>
        <c:lblOffset val="100"/>
        <c:noMultiLvlLbl val="0"/>
      </c:catAx>
      <c:valAx>
        <c:axId val="405805720"/>
        <c:scaling>
          <c:orientation val="minMax"/>
          <c:min val="8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crossAx val="4058061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de-D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Anteil</a:t>
            </a:r>
            <a:r>
              <a:rPr lang="en-US" sz="1200" baseline="0"/>
              <a:t> der Erwerbspersonen an der Bevölkerung</a:t>
            </a:r>
            <a:endParaRPr lang="en-US"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Erwerbspersonenquote!$B$2</c:f>
              <c:strCache>
                <c:ptCount val="1"/>
                <c:pt idx="0">
                  <c:v>55 Jahre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Erwerbspersonenquote!$A$3:$A$8</c:f>
              <c:numCache>
                <c:formatCode>General</c:formatCode>
                <c:ptCount val="6"/>
                <c:pt idx="0">
                  <c:v>2012</c:v>
                </c:pt>
                <c:pt idx="1">
                  <c:v>2013</c:v>
                </c:pt>
                <c:pt idx="2">
                  <c:v>2014</c:v>
                </c:pt>
                <c:pt idx="3">
                  <c:v>2015</c:v>
                </c:pt>
                <c:pt idx="4">
                  <c:v>2016</c:v>
                </c:pt>
                <c:pt idx="5">
                  <c:v>2017</c:v>
                </c:pt>
              </c:numCache>
            </c:numRef>
          </c:cat>
          <c:val>
            <c:numRef>
              <c:f>Erwerbspersonenquote!$B$3:$B$8</c:f>
              <c:numCache>
                <c:formatCode>0%</c:formatCode>
                <c:ptCount val="6"/>
                <c:pt idx="0">
                  <c:v>0.81</c:v>
                </c:pt>
                <c:pt idx="1">
                  <c:v>0.83</c:v>
                </c:pt>
                <c:pt idx="2">
                  <c:v>0.8</c:v>
                </c:pt>
                <c:pt idx="3">
                  <c:v>0.83</c:v>
                </c:pt>
                <c:pt idx="4">
                  <c:v>0.84</c:v>
                </c:pt>
                <c:pt idx="5">
                  <c:v>0.85</c:v>
                </c:pt>
              </c:numCache>
            </c:numRef>
          </c:val>
          <c:smooth val="0"/>
        </c:ser>
        <c:ser>
          <c:idx val="1"/>
          <c:order val="1"/>
          <c:tx>
            <c:strRef>
              <c:f>Erwerbspersonenquote!$C$2</c:f>
              <c:strCache>
                <c:ptCount val="1"/>
                <c:pt idx="0">
                  <c:v>60 Jahre</c:v>
                </c:pt>
              </c:strCache>
            </c:strRef>
          </c:tx>
          <c:spPr>
            <a:ln w="28575" cap="rnd">
              <a:solidFill>
                <a:schemeClr val="accent2"/>
              </a:solidFill>
              <a:round/>
            </a:ln>
            <a:effectLst/>
          </c:spPr>
          <c:marker>
            <c:symbol val="none"/>
          </c:marker>
          <c:dLbls>
            <c:dLbl>
              <c:idx val="1"/>
              <c:layout>
                <c:manualLayout>
                  <c:x val="-4.0002291380244179E-2"/>
                  <c:y val="-4.502014119892767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797705842325266E-2"/>
                  <c:y val="-4.05638132131879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797705842325266E-2"/>
                  <c:y val="-4.05638132131879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797705842325266E-2"/>
                  <c:y val="-4.05638132131879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797705842325266E-2"/>
                  <c:y val="-4.502014119892763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Erwerbspersonenquote!$A$3:$A$8</c:f>
              <c:numCache>
                <c:formatCode>General</c:formatCode>
                <c:ptCount val="6"/>
                <c:pt idx="0">
                  <c:v>2012</c:v>
                </c:pt>
                <c:pt idx="1">
                  <c:v>2013</c:v>
                </c:pt>
                <c:pt idx="2">
                  <c:v>2014</c:v>
                </c:pt>
                <c:pt idx="3">
                  <c:v>2015</c:v>
                </c:pt>
                <c:pt idx="4">
                  <c:v>2016</c:v>
                </c:pt>
                <c:pt idx="5">
                  <c:v>2017</c:v>
                </c:pt>
              </c:numCache>
            </c:numRef>
          </c:cat>
          <c:val>
            <c:numRef>
              <c:f>Erwerbspersonenquote!$C$3:$C$8</c:f>
              <c:numCache>
                <c:formatCode>0%</c:formatCode>
                <c:ptCount val="6"/>
                <c:pt idx="0">
                  <c:v>0.66</c:v>
                </c:pt>
                <c:pt idx="1">
                  <c:v>0.73</c:v>
                </c:pt>
                <c:pt idx="2">
                  <c:v>0.71</c:v>
                </c:pt>
                <c:pt idx="3">
                  <c:v>0.74</c:v>
                </c:pt>
                <c:pt idx="4">
                  <c:v>0.73</c:v>
                </c:pt>
                <c:pt idx="5">
                  <c:v>0.75</c:v>
                </c:pt>
              </c:numCache>
            </c:numRef>
          </c:val>
          <c:smooth val="0"/>
        </c:ser>
        <c:ser>
          <c:idx val="2"/>
          <c:order val="2"/>
          <c:tx>
            <c:strRef>
              <c:f>Erwerbspersonenquote!$D$2</c:f>
              <c:strCache>
                <c:ptCount val="1"/>
                <c:pt idx="0">
                  <c:v>63 Jahre</c:v>
                </c:pt>
              </c:strCache>
            </c:strRef>
          </c:tx>
          <c:spPr>
            <a:ln w="28575" cap="rnd">
              <a:solidFill>
                <a:srgbClr val="00B05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Erwerbspersonenquote!$A$3:$A$8</c:f>
              <c:numCache>
                <c:formatCode>General</c:formatCode>
                <c:ptCount val="6"/>
                <c:pt idx="0">
                  <c:v>2012</c:v>
                </c:pt>
                <c:pt idx="1">
                  <c:v>2013</c:v>
                </c:pt>
                <c:pt idx="2">
                  <c:v>2014</c:v>
                </c:pt>
                <c:pt idx="3">
                  <c:v>2015</c:v>
                </c:pt>
                <c:pt idx="4">
                  <c:v>2016</c:v>
                </c:pt>
                <c:pt idx="5">
                  <c:v>2017</c:v>
                </c:pt>
              </c:numCache>
            </c:numRef>
          </c:cat>
          <c:val>
            <c:numRef>
              <c:f>Erwerbspersonenquote!$D$3:$D$8</c:f>
              <c:numCache>
                <c:formatCode>0%</c:formatCode>
                <c:ptCount val="6"/>
                <c:pt idx="0">
                  <c:v>0.38</c:v>
                </c:pt>
                <c:pt idx="1">
                  <c:v>0.41</c:v>
                </c:pt>
                <c:pt idx="2">
                  <c:v>0.42</c:v>
                </c:pt>
                <c:pt idx="3">
                  <c:v>0.41</c:v>
                </c:pt>
                <c:pt idx="4">
                  <c:v>0.45</c:v>
                </c:pt>
                <c:pt idx="5">
                  <c:v>0.47</c:v>
                </c:pt>
              </c:numCache>
            </c:numRef>
          </c:val>
          <c:smooth val="0"/>
        </c:ser>
        <c:ser>
          <c:idx val="3"/>
          <c:order val="3"/>
          <c:tx>
            <c:strRef>
              <c:f>Erwerbspersonenquote!$E$2</c:f>
              <c:strCache>
                <c:ptCount val="1"/>
                <c:pt idx="0">
                  <c:v>64 Jahre</c:v>
                </c:pt>
              </c:strCache>
            </c:strRef>
          </c:tx>
          <c:spPr>
            <a:ln w="28575" cap="rnd">
              <a:solidFill>
                <a:schemeClr val="accent4"/>
              </a:solidFill>
              <a:round/>
            </a:ln>
            <a:effectLst/>
          </c:spPr>
          <c:marker>
            <c:symbol val="none"/>
          </c:marker>
          <c:dLbls>
            <c:dLbl>
              <c:idx val="0"/>
              <c:layout>
                <c:manualLayout>
                  <c:x val="-3.7797705842325273E-2"/>
                  <c:y val="-3.610748522744817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797705842325266E-2"/>
                  <c:y val="-4.056381321318800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797705842325266E-2"/>
                  <c:y val="-3.610748522744817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797705842325266E-2"/>
                  <c:y val="-4.056381321318800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797705842325266E-2"/>
                  <c:y val="-4.502014119892767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797705842325266E-2"/>
                  <c:y val="-5.393279717040717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Erwerbspersonenquote!$A$3:$A$8</c:f>
              <c:numCache>
                <c:formatCode>General</c:formatCode>
                <c:ptCount val="6"/>
                <c:pt idx="0">
                  <c:v>2012</c:v>
                </c:pt>
                <c:pt idx="1">
                  <c:v>2013</c:v>
                </c:pt>
                <c:pt idx="2">
                  <c:v>2014</c:v>
                </c:pt>
                <c:pt idx="3">
                  <c:v>2015</c:v>
                </c:pt>
                <c:pt idx="4">
                  <c:v>2016</c:v>
                </c:pt>
                <c:pt idx="5">
                  <c:v>2017</c:v>
                </c:pt>
              </c:numCache>
            </c:numRef>
          </c:cat>
          <c:val>
            <c:numRef>
              <c:f>Erwerbspersonenquote!$E$3:$E$8</c:f>
              <c:numCache>
                <c:formatCode>0%</c:formatCode>
                <c:ptCount val="6"/>
                <c:pt idx="0">
                  <c:v>0.3</c:v>
                </c:pt>
                <c:pt idx="1">
                  <c:v>0.33</c:v>
                </c:pt>
                <c:pt idx="2">
                  <c:v>0.34</c:v>
                </c:pt>
                <c:pt idx="3">
                  <c:v>0.33</c:v>
                </c:pt>
                <c:pt idx="4">
                  <c:v>0.35</c:v>
                </c:pt>
                <c:pt idx="5">
                  <c:v>0.36</c:v>
                </c:pt>
              </c:numCache>
            </c:numRef>
          </c:val>
          <c:smooth val="0"/>
        </c:ser>
        <c:ser>
          <c:idx val="4"/>
          <c:order val="4"/>
          <c:tx>
            <c:strRef>
              <c:f>Erwerbspersonenquote!$F$2</c:f>
              <c:strCache>
                <c:ptCount val="1"/>
                <c:pt idx="0">
                  <c:v>65 Jahre</c:v>
                </c:pt>
              </c:strCache>
            </c:strRef>
          </c:tx>
          <c:spPr>
            <a:ln w="28575" cap="rnd">
              <a:solidFill>
                <a:sysClr val="windowText" lastClr="00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Erwerbspersonenquote!$A$3:$A$8</c:f>
              <c:numCache>
                <c:formatCode>General</c:formatCode>
                <c:ptCount val="6"/>
                <c:pt idx="0">
                  <c:v>2012</c:v>
                </c:pt>
                <c:pt idx="1">
                  <c:v>2013</c:v>
                </c:pt>
                <c:pt idx="2">
                  <c:v>2014</c:v>
                </c:pt>
                <c:pt idx="3">
                  <c:v>2015</c:v>
                </c:pt>
                <c:pt idx="4">
                  <c:v>2016</c:v>
                </c:pt>
                <c:pt idx="5">
                  <c:v>2017</c:v>
                </c:pt>
              </c:numCache>
            </c:numRef>
          </c:cat>
          <c:val>
            <c:numRef>
              <c:f>Erwerbspersonenquote!$F$3:$F$8</c:f>
              <c:numCache>
                <c:formatCode>0%</c:formatCode>
                <c:ptCount val="6"/>
                <c:pt idx="0">
                  <c:v>0.15</c:v>
                </c:pt>
                <c:pt idx="1">
                  <c:v>0.18</c:v>
                </c:pt>
                <c:pt idx="2">
                  <c:v>0.18</c:v>
                </c:pt>
                <c:pt idx="3">
                  <c:v>0.2</c:v>
                </c:pt>
                <c:pt idx="4">
                  <c:v>0.23</c:v>
                </c:pt>
                <c:pt idx="5">
                  <c:v>0.24</c:v>
                </c:pt>
              </c:numCache>
            </c:numRef>
          </c:val>
          <c:smooth val="0"/>
        </c:ser>
        <c:dLbls>
          <c:dLblPos val="t"/>
          <c:showLegendKey val="0"/>
          <c:showVal val="1"/>
          <c:showCatName val="0"/>
          <c:showSerName val="0"/>
          <c:showPercent val="0"/>
          <c:showBubbleSize val="0"/>
        </c:dLbls>
        <c:smooth val="0"/>
        <c:axId val="412984328"/>
        <c:axId val="412984720"/>
      </c:lineChart>
      <c:catAx>
        <c:axId val="412984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crossAx val="412984720"/>
        <c:crosses val="autoZero"/>
        <c:auto val="1"/>
        <c:lblAlgn val="ctr"/>
        <c:lblOffset val="100"/>
        <c:noMultiLvlLbl val="0"/>
      </c:catAx>
      <c:valAx>
        <c:axId val="41298472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12984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de-DE" sz="1200"/>
              <a:t>Anteil der sozialversicherunsgpflichtig Beschäftigten an allen Erwerbspersonen, 2017</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de-DE"/>
        </a:p>
      </c:txPr>
    </c:title>
    <c:autoTitleDeleted val="0"/>
    <c:plotArea>
      <c:layout/>
      <c:barChart>
        <c:barDir val="col"/>
        <c:grouping val="clustered"/>
        <c:varyColors val="0"/>
        <c:ser>
          <c:idx val="0"/>
          <c:order val="0"/>
          <c:tx>
            <c:strRef>
              <c:f>'Anteil SV an Erwerbspersonen'!$A$2</c:f>
              <c:strCache>
                <c:ptCount val="1"/>
                <c:pt idx="0">
                  <c:v>2017</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'Anteil SV an Erwerbspersonen'!$B$1:$F$1</c:f>
              <c:strCache>
                <c:ptCount val="5"/>
                <c:pt idx="0">
                  <c:v>55 Jahre</c:v>
                </c:pt>
                <c:pt idx="1">
                  <c:v>60 Jahre</c:v>
                </c:pt>
                <c:pt idx="2">
                  <c:v>63 Jahre</c:v>
                </c:pt>
                <c:pt idx="3">
                  <c:v>64 Jahre</c:v>
                </c:pt>
                <c:pt idx="4">
                  <c:v>65 Jahre</c:v>
                </c:pt>
              </c:strCache>
            </c:strRef>
          </c:cat>
          <c:val>
            <c:numRef>
              <c:f>'Anteil SV an Erwerbspersonen'!$B$2:$F$2</c:f>
              <c:numCache>
                <c:formatCode>0.0%</c:formatCode>
                <c:ptCount val="5"/>
                <c:pt idx="0">
                  <c:v>0.73899999999999999</c:v>
                </c:pt>
                <c:pt idx="1">
                  <c:v>0.70699999999999996</c:v>
                </c:pt>
                <c:pt idx="2">
                  <c:v>0.61699999999999999</c:v>
                </c:pt>
                <c:pt idx="3">
                  <c:v>0.47099999999999997</c:v>
                </c:pt>
                <c:pt idx="4">
                  <c:v>0.36599999999999999</c:v>
                </c:pt>
              </c:numCache>
            </c:numRef>
          </c:val>
        </c:ser>
        <c:dLbls>
          <c:dLblPos val="outEnd"/>
          <c:showLegendKey val="0"/>
          <c:showVal val="1"/>
          <c:showCatName val="0"/>
          <c:showSerName val="0"/>
          <c:showPercent val="0"/>
          <c:showBubbleSize val="0"/>
        </c:dLbls>
        <c:gapWidth val="100"/>
        <c:overlap val="-24"/>
        <c:axId val="412985504"/>
        <c:axId val="412985896"/>
      </c:barChart>
      <c:catAx>
        <c:axId val="41298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de-DE"/>
          </a:p>
        </c:txPr>
        <c:crossAx val="412985896"/>
        <c:crosses val="autoZero"/>
        <c:auto val="1"/>
        <c:lblAlgn val="ctr"/>
        <c:lblOffset val="100"/>
        <c:noMultiLvlLbl val="0"/>
      </c:catAx>
      <c:valAx>
        <c:axId val="41298589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412985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de-DE" sz="1200"/>
              <a:t>Anteil der sv-pflichtig</a:t>
            </a:r>
            <a:r>
              <a:rPr lang="de-DE" sz="1200" baseline="0"/>
              <a:t> </a:t>
            </a:r>
            <a:r>
              <a:rPr lang="de-DE" sz="1200"/>
              <a:t>Voll- sowie Teilzeitbeschäftigten</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VZ_TZ!$A$2</c:f>
              <c:strCache>
                <c:ptCount val="1"/>
                <c:pt idx="0">
                  <c:v>55 Jahre, VZ</c:v>
                </c:pt>
              </c:strCache>
            </c:strRef>
          </c:tx>
          <c:spPr>
            <a:ln w="28575" cap="rnd">
              <a:solidFill>
                <a:schemeClr val="accent1"/>
              </a:solidFill>
              <a:round/>
            </a:ln>
            <a:effectLst/>
          </c:spPr>
          <c:marker>
            <c:symbol val="none"/>
          </c:marker>
          <c:cat>
            <c:numRef>
              <c:f>VZ_TZ!$B$1:$G$1</c:f>
              <c:numCache>
                <c:formatCode>General</c:formatCode>
                <c:ptCount val="6"/>
                <c:pt idx="0">
                  <c:v>2013</c:v>
                </c:pt>
                <c:pt idx="1">
                  <c:v>2014</c:v>
                </c:pt>
                <c:pt idx="2">
                  <c:v>2015</c:v>
                </c:pt>
                <c:pt idx="3">
                  <c:v>2016</c:v>
                </c:pt>
                <c:pt idx="4">
                  <c:v>2017</c:v>
                </c:pt>
                <c:pt idx="5">
                  <c:v>2018</c:v>
                </c:pt>
              </c:numCache>
            </c:numRef>
          </c:cat>
          <c:val>
            <c:numRef>
              <c:f>VZ_TZ!$B$2:$G$2</c:f>
              <c:numCache>
                <c:formatCode>0.0%</c:formatCode>
                <c:ptCount val="6"/>
                <c:pt idx="0">
                  <c:v>0.71799999999999997</c:v>
                </c:pt>
                <c:pt idx="1">
                  <c:v>0.70399999999999996</c:v>
                </c:pt>
                <c:pt idx="2">
                  <c:v>0.70399999999999996</c:v>
                </c:pt>
                <c:pt idx="3">
                  <c:v>0.69899999999999995</c:v>
                </c:pt>
                <c:pt idx="4">
                  <c:v>0.69399999999999995</c:v>
                </c:pt>
                <c:pt idx="5">
                  <c:v>0.69</c:v>
                </c:pt>
              </c:numCache>
            </c:numRef>
          </c:val>
          <c:smooth val="0"/>
        </c:ser>
        <c:ser>
          <c:idx val="1"/>
          <c:order val="1"/>
          <c:tx>
            <c:strRef>
              <c:f>VZ_TZ!$A$3</c:f>
              <c:strCache>
                <c:ptCount val="1"/>
                <c:pt idx="0">
                  <c:v>55 Jahre, TZ</c:v>
                </c:pt>
              </c:strCache>
            </c:strRef>
          </c:tx>
          <c:spPr>
            <a:ln w="28575" cap="rnd">
              <a:solidFill>
                <a:srgbClr val="0070C0"/>
              </a:solidFill>
              <a:round/>
            </a:ln>
            <a:effectLst/>
          </c:spPr>
          <c:marker>
            <c:symbol val="none"/>
          </c:marker>
          <c:cat>
            <c:numRef>
              <c:f>VZ_TZ!$B$1:$G$1</c:f>
              <c:numCache>
                <c:formatCode>General</c:formatCode>
                <c:ptCount val="6"/>
                <c:pt idx="0">
                  <c:v>2013</c:v>
                </c:pt>
                <c:pt idx="1">
                  <c:v>2014</c:v>
                </c:pt>
                <c:pt idx="2">
                  <c:v>2015</c:v>
                </c:pt>
                <c:pt idx="3">
                  <c:v>2016</c:v>
                </c:pt>
                <c:pt idx="4">
                  <c:v>2017</c:v>
                </c:pt>
                <c:pt idx="5">
                  <c:v>2018</c:v>
                </c:pt>
              </c:numCache>
            </c:numRef>
          </c:cat>
          <c:val>
            <c:numRef>
              <c:f>VZ_TZ!$B$3:$G$3</c:f>
              <c:numCache>
                <c:formatCode>0.0%</c:formatCode>
                <c:ptCount val="6"/>
                <c:pt idx="0">
                  <c:v>0.28100000000000003</c:v>
                </c:pt>
                <c:pt idx="1">
                  <c:v>0.28699999999999998</c:v>
                </c:pt>
                <c:pt idx="2">
                  <c:v>0.29599999999999999</c:v>
                </c:pt>
                <c:pt idx="3">
                  <c:v>0.30099999999999999</c:v>
                </c:pt>
                <c:pt idx="4">
                  <c:v>0.30599999999999999</c:v>
                </c:pt>
                <c:pt idx="5">
                  <c:v>0.31</c:v>
                </c:pt>
              </c:numCache>
            </c:numRef>
          </c:val>
          <c:smooth val="0"/>
        </c:ser>
        <c:ser>
          <c:idx val="2"/>
          <c:order val="2"/>
          <c:tx>
            <c:strRef>
              <c:f>VZ_TZ!$A$4</c:f>
              <c:strCache>
                <c:ptCount val="1"/>
                <c:pt idx="0">
                  <c:v>60 Jahre, VZ</c:v>
                </c:pt>
              </c:strCache>
            </c:strRef>
          </c:tx>
          <c:spPr>
            <a:ln w="28575" cap="rnd">
              <a:solidFill>
                <a:srgbClr val="FF0000"/>
              </a:solidFill>
              <a:round/>
            </a:ln>
            <a:effectLst/>
          </c:spPr>
          <c:marker>
            <c:symbol val="none"/>
          </c:marker>
          <c:cat>
            <c:numRef>
              <c:f>VZ_TZ!$B$1:$G$1</c:f>
              <c:numCache>
                <c:formatCode>General</c:formatCode>
                <c:ptCount val="6"/>
                <c:pt idx="0">
                  <c:v>2013</c:v>
                </c:pt>
                <c:pt idx="1">
                  <c:v>2014</c:v>
                </c:pt>
                <c:pt idx="2">
                  <c:v>2015</c:v>
                </c:pt>
                <c:pt idx="3">
                  <c:v>2016</c:v>
                </c:pt>
                <c:pt idx="4">
                  <c:v>2017</c:v>
                </c:pt>
                <c:pt idx="5">
                  <c:v>2018</c:v>
                </c:pt>
              </c:numCache>
            </c:numRef>
          </c:cat>
          <c:val>
            <c:numRef>
              <c:f>VZ_TZ!$B$4:$G$4</c:f>
              <c:numCache>
                <c:formatCode>0.0%</c:formatCode>
                <c:ptCount val="6"/>
                <c:pt idx="0">
                  <c:v>0.69699999999999995</c:v>
                </c:pt>
                <c:pt idx="1">
                  <c:v>0.69199999999999995</c:v>
                </c:pt>
                <c:pt idx="2">
                  <c:v>0.69899999999999995</c:v>
                </c:pt>
                <c:pt idx="3">
                  <c:v>0.69499999999999995</c:v>
                </c:pt>
                <c:pt idx="4">
                  <c:v>0.68700000000000006</c:v>
                </c:pt>
                <c:pt idx="5">
                  <c:v>0.68100000000000005</c:v>
                </c:pt>
              </c:numCache>
            </c:numRef>
          </c:val>
          <c:smooth val="0"/>
        </c:ser>
        <c:ser>
          <c:idx val="3"/>
          <c:order val="3"/>
          <c:tx>
            <c:strRef>
              <c:f>VZ_TZ!$A$5</c:f>
              <c:strCache>
                <c:ptCount val="1"/>
                <c:pt idx="0">
                  <c:v>60 Jahre, TZ</c:v>
                </c:pt>
              </c:strCache>
            </c:strRef>
          </c:tx>
          <c:spPr>
            <a:ln w="28575" cap="rnd">
              <a:solidFill>
                <a:srgbClr val="C00000"/>
              </a:solidFill>
              <a:round/>
            </a:ln>
            <a:effectLst/>
          </c:spPr>
          <c:marker>
            <c:symbol val="none"/>
          </c:marker>
          <c:cat>
            <c:numRef>
              <c:f>VZ_TZ!$B$1:$G$1</c:f>
              <c:numCache>
                <c:formatCode>General</c:formatCode>
                <c:ptCount val="6"/>
                <c:pt idx="0">
                  <c:v>2013</c:v>
                </c:pt>
                <c:pt idx="1">
                  <c:v>2014</c:v>
                </c:pt>
                <c:pt idx="2">
                  <c:v>2015</c:v>
                </c:pt>
                <c:pt idx="3">
                  <c:v>2016</c:v>
                </c:pt>
                <c:pt idx="4">
                  <c:v>2017</c:v>
                </c:pt>
                <c:pt idx="5">
                  <c:v>2018</c:v>
                </c:pt>
              </c:numCache>
            </c:numRef>
          </c:cat>
          <c:val>
            <c:numRef>
              <c:f>VZ_TZ!$B$5:$G$5</c:f>
              <c:numCache>
                <c:formatCode>0.0%</c:formatCode>
                <c:ptCount val="6"/>
                <c:pt idx="0">
                  <c:v>0.30199999999999999</c:v>
                </c:pt>
                <c:pt idx="1">
                  <c:v>0.30099999999999999</c:v>
                </c:pt>
                <c:pt idx="2">
                  <c:v>0.30099999999999999</c:v>
                </c:pt>
                <c:pt idx="3">
                  <c:v>0.30499999999999999</c:v>
                </c:pt>
                <c:pt idx="4">
                  <c:v>0.313</c:v>
                </c:pt>
                <c:pt idx="5">
                  <c:v>0.31900000000000001</c:v>
                </c:pt>
              </c:numCache>
            </c:numRef>
          </c:val>
          <c:smooth val="0"/>
        </c:ser>
        <c:ser>
          <c:idx val="4"/>
          <c:order val="4"/>
          <c:tx>
            <c:strRef>
              <c:f>VZ_TZ!$A$6</c:f>
              <c:strCache>
                <c:ptCount val="1"/>
                <c:pt idx="0">
                  <c:v>65 Jahre, VZ</c:v>
                </c:pt>
              </c:strCache>
            </c:strRef>
          </c:tx>
          <c:spPr>
            <a:ln w="28575" cap="rnd">
              <a:solidFill>
                <a:srgbClr val="92D050"/>
              </a:solidFill>
              <a:round/>
            </a:ln>
            <a:effectLst/>
          </c:spPr>
          <c:marker>
            <c:symbol val="none"/>
          </c:marker>
          <c:cat>
            <c:numRef>
              <c:f>VZ_TZ!$B$1:$G$1</c:f>
              <c:numCache>
                <c:formatCode>General</c:formatCode>
                <c:ptCount val="6"/>
                <c:pt idx="0">
                  <c:v>2013</c:v>
                </c:pt>
                <c:pt idx="1">
                  <c:v>2014</c:v>
                </c:pt>
                <c:pt idx="2">
                  <c:v>2015</c:v>
                </c:pt>
                <c:pt idx="3">
                  <c:v>2016</c:v>
                </c:pt>
                <c:pt idx="4">
                  <c:v>2017</c:v>
                </c:pt>
                <c:pt idx="5">
                  <c:v>2018</c:v>
                </c:pt>
              </c:numCache>
            </c:numRef>
          </c:cat>
          <c:val>
            <c:numRef>
              <c:f>VZ_TZ!$B$6:$G$6</c:f>
              <c:numCache>
                <c:formatCode>0.0%</c:formatCode>
                <c:ptCount val="6"/>
                <c:pt idx="0">
                  <c:v>0.626</c:v>
                </c:pt>
                <c:pt idx="1">
                  <c:v>0.64100000000000001</c:v>
                </c:pt>
                <c:pt idx="2">
                  <c:v>0.63900000000000001</c:v>
                </c:pt>
                <c:pt idx="3">
                  <c:v>0.64700000000000002</c:v>
                </c:pt>
                <c:pt idx="4">
                  <c:v>0.627</c:v>
                </c:pt>
                <c:pt idx="5">
                  <c:v>0.628</c:v>
                </c:pt>
              </c:numCache>
            </c:numRef>
          </c:val>
          <c:smooth val="0"/>
        </c:ser>
        <c:ser>
          <c:idx val="5"/>
          <c:order val="5"/>
          <c:tx>
            <c:strRef>
              <c:f>VZ_TZ!$A$7</c:f>
              <c:strCache>
                <c:ptCount val="1"/>
                <c:pt idx="0">
                  <c:v>65 Jahre, TZ</c:v>
                </c:pt>
              </c:strCache>
            </c:strRef>
          </c:tx>
          <c:spPr>
            <a:ln w="28575" cap="rnd">
              <a:solidFill>
                <a:schemeClr val="accent6"/>
              </a:solidFill>
              <a:round/>
            </a:ln>
            <a:effectLst/>
          </c:spPr>
          <c:marker>
            <c:symbol val="none"/>
          </c:marker>
          <c:cat>
            <c:numRef>
              <c:f>VZ_TZ!$B$1:$G$1</c:f>
              <c:numCache>
                <c:formatCode>General</c:formatCode>
                <c:ptCount val="6"/>
                <c:pt idx="0">
                  <c:v>2013</c:v>
                </c:pt>
                <c:pt idx="1">
                  <c:v>2014</c:v>
                </c:pt>
                <c:pt idx="2">
                  <c:v>2015</c:v>
                </c:pt>
                <c:pt idx="3">
                  <c:v>2016</c:v>
                </c:pt>
                <c:pt idx="4">
                  <c:v>2017</c:v>
                </c:pt>
                <c:pt idx="5">
                  <c:v>2018</c:v>
                </c:pt>
              </c:numCache>
            </c:numRef>
          </c:cat>
          <c:val>
            <c:numRef>
              <c:f>VZ_TZ!$B$7:$G$7</c:f>
              <c:numCache>
                <c:formatCode>0.0%</c:formatCode>
                <c:ptCount val="6"/>
                <c:pt idx="0">
                  <c:v>0.36699999999999999</c:v>
                </c:pt>
                <c:pt idx="1">
                  <c:v>0.35099999999999998</c:v>
                </c:pt>
                <c:pt idx="2">
                  <c:v>0.36</c:v>
                </c:pt>
                <c:pt idx="3">
                  <c:v>0.35299999999999998</c:v>
                </c:pt>
                <c:pt idx="4">
                  <c:v>0.373</c:v>
                </c:pt>
                <c:pt idx="5">
                  <c:v>0.372</c:v>
                </c:pt>
              </c:numCache>
            </c:numRef>
          </c:val>
          <c:smooth val="0"/>
        </c:ser>
        <c:dLbls>
          <c:showLegendKey val="0"/>
          <c:showVal val="0"/>
          <c:showCatName val="0"/>
          <c:showSerName val="0"/>
          <c:showPercent val="0"/>
          <c:showBubbleSize val="0"/>
        </c:dLbls>
        <c:smooth val="0"/>
        <c:axId val="412986680"/>
        <c:axId val="637406672"/>
      </c:lineChart>
      <c:catAx>
        <c:axId val="412986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crossAx val="637406672"/>
        <c:crosses val="autoZero"/>
        <c:auto val="1"/>
        <c:lblAlgn val="ctr"/>
        <c:lblOffset val="100"/>
        <c:noMultiLvlLbl val="0"/>
      </c:catAx>
      <c:valAx>
        <c:axId val="637406672"/>
        <c:scaling>
          <c:orientation val="minMax"/>
          <c:min val="0.2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crossAx val="412986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de-DE" sz="1200"/>
              <a:t>Zahl der MinijobberInnen, 63-65</a:t>
            </a:r>
            <a:r>
              <a:rPr lang="de-DE" sz="1200" baseline="0"/>
              <a:t> Jahre</a:t>
            </a:r>
            <a:endParaRPr lang="de-DE"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7"/>
          <c:order val="7"/>
          <c:tx>
            <c:strRef>
              <c:f>'Minijobs absolut'!$I$1</c:f>
              <c:strCache>
                <c:ptCount val="1"/>
                <c:pt idx="0">
                  <c:v>63-65 Jahre</c:v>
                </c:pt>
              </c:strCache>
            </c:strRef>
          </c:tx>
          <c:spPr>
            <a:ln w="28575" cap="rnd">
              <a:solidFill>
                <a:srgbClr val="0070C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'Minijobs absolut'!$A$2:$A$7</c:f>
              <c:numCache>
                <c:formatCode>General</c:formatCode>
                <c:ptCount val="6"/>
                <c:pt idx="0">
                  <c:v>2013</c:v>
                </c:pt>
                <c:pt idx="1">
                  <c:v>2014</c:v>
                </c:pt>
                <c:pt idx="2">
                  <c:v>2015</c:v>
                </c:pt>
                <c:pt idx="3">
                  <c:v>2016</c:v>
                </c:pt>
                <c:pt idx="4">
                  <c:v>2017</c:v>
                </c:pt>
                <c:pt idx="5">
                  <c:v>2018</c:v>
                </c:pt>
              </c:numCache>
            </c:numRef>
          </c:cat>
          <c:val>
            <c:numRef>
              <c:f>'Minijobs absolut'!$I$2:$I$7</c:f>
              <c:numCache>
                <c:formatCode>#,##0</c:formatCode>
                <c:ptCount val="6"/>
                <c:pt idx="0">
                  <c:v>368488</c:v>
                </c:pt>
                <c:pt idx="1">
                  <c:v>385733</c:v>
                </c:pt>
                <c:pt idx="2">
                  <c:v>429195</c:v>
                </c:pt>
                <c:pt idx="3">
                  <c:v>439724</c:v>
                </c:pt>
                <c:pt idx="4">
                  <c:v>440868</c:v>
                </c:pt>
                <c:pt idx="5">
                  <c:v>437854</c:v>
                </c:pt>
              </c:numCache>
            </c:numRef>
          </c:val>
          <c:smooth val="0"/>
        </c:ser>
        <c:dLbls>
          <c:dLblPos val="t"/>
          <c:showLegendKey val="0"/>
          <c:showVal val="1"/>
          <c:showCatName val="0"/>
          <c:showSerName val="0"/>
          <c:showPercent val="0"/>
          <c:showBubbleSize val="0"/>
        </c:dLbls>
        <c:smooth val="0"/>
        <c:axId val="637407456"/>
        <c:axId val="637407848"/>
        <c:extLst>
          <c:ext xmlns:c15="http://schemas.microsoft.com/office/drawing/2012/chart" uri="{02D57815-91ED-43cb-92C2-25804820EDAC}">
            <c15:filteredLineSeries>
              <c15:ser>
                <c:idx val="0"/>
                <c:order val="0"/>
                <c:tx>
                  <c:strRef>
                    <c:extLst>
                      <c:ext uri="{02D57815-91ED-43cb-92C2-25804820EDAC}">
                        <c15:formulaRef>
                          <c15:sqref>'Minijobs absolut'!$B$1</c15:sqref>
                        </c15:formulaRef>
                      </c:ext>
                    </c:extLst>
                    <c:strCache>
                      <c:ptCount val="1"/>
                      <c:pt idx="0">
                        <c:v>55 Jahre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'Minijobs absolut'!$A$2:$A$7</c15:sqref>
                        </c15:formulaRef>
                      </c:ext>
                    </c:extLst>
                    <c:numCache>
                      <c:formatCode>General</c:formatCode>
                      <c:ptCount val="6"/>
                      <c:pt idx="0">
                        <c:v>2013</c:v>
                      </c:pt>
                      <c:pt idx="1">
                        <c:v>2014</c:v>
                      </c:pt>
                      <c:pt idx="2">
                        <c:v>2015</c:v>
                      </c:pt>
                      <c:pt idx="3">
                        <c:v>2016</c:v>
                      </c:pt>
                      <c:pt idx="4">
                        <c:v>2017</c:v>
                      </c:pt>
                      <c:pt idx="5">
                        <c:v>2018</c:v>
                      </c:pt>
                    </c:numCache>
                  </c:numRef>
                </c:cat>
                <c:val>
                  <c:numRef>
                    <c:extLst>
                      <c:ext uri="{02D57815-91ED-43cb-92C2-25804820EDAC}">
                        <c15:formulaRef>
                          <c15:sqref>'Minijobs absolut'!$B$2:$B$7</c15:sqref>
                        </c15:formulaRef>
                      </c:ext>
                    </c:extLst>
                    <c:numCache>
                      <c:formatCode>#,##0</c:formatCode>
                      <c:ptCount val="6"/>
                      <c:pt idx="0">
                        <c:v>135925</c:v>
                      </c:pt>
                      <c:pt idx="1">
                        <c:v>143959</c:v>
                      </c:pt>
                      <c:pt idx="2">
                        <c:v>146120</c:v>
                      </c:pt>
                      <c:pt idx="3">
                        <c:v>148195</c:v>
                      </c:pt>
                      <c:pt idx="4">
                        <c:v>151915</c:v>
                      </c:pt>
                      <c:pt idx="5">
                        <c:v>154507</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'Minijobs absolut'!$C$1</c15:sqref>
                        </c15:formulaRef>
                      </c:ext>
                    </c:extLst>
                    <c:strCache>
                      <c:ptCount val="1"/>
                      <c:pt idx="0">
                        <c:v>60 Jahre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'Minijobs absolut'!$A$2:$A$7</c15:sqref>
                        </c15:formulaRef>
                      </c:ext>
                    </c:extLst>
                    <c:numCache>
                      <c:formatCode>General</c:formatCode>
                      <c:ptCount val="6"/>
                      <c:pt idx="0">
                        <c:v>2013</c:v>
                      </c:pt>
                      <c:pt idx="1">
                        <c:v>2014</c:v>
                      </c:pt>
                      <c:pt idx="2">
                        <c:v>2015</c:v>
                      </c:pt>
                      <c:pt idx="3">
                        <c:v>2016</c:v>
                      </c:pt>
                      <c:pt idx="4">
                        <c:v>2017</c:v>
                      </c:pt>
                      <c:pt idx="5">
                        <c:v>2018</c:v>
                      </c:pt>
                    </c:numCache>
                  </c:numRef>
                </c:cat>
                <c:val>
                  <c:numRef>
                    <c:extLst xmlns:c15="http://schemas.microsoft.com/office/drawing/2012/chart">
                      <c:ext xmlns:c15="http://schemas.microsoft.com/office/drawing/2012/chart" uri="{02D57815-91ED-43cb-92C2-25804820EDAC}">
                        <c15:formulaRef>
                          <c15:sqref>'Minijobs absolut'!$C$2:$C$7</c15:sqref>
                        </c15:formulaRef>
                      </c:ext>
                    </c:extLst>
                    <c:numCache>
                      <c:formatCode>#,##0</c:formatCode>
                      <c:ptCount val="6"/>
                      <c:pt idx="0">
                        <c:v>115799</c:v>
                      </c:pt>
                      <c:pt idx="1">
                        <c:v>117381</c:v>
                      </c:pt>
                      <c:pt idx="2">
                        <c:v>116902</c:v>
                      </c:pt>
                      <c:pt idx="3">
                        <c:v>117246</c:v>
                      </c:pt>
                      <c:pt idx="4">
                        <c:v>119491</c:v>
                      </c:pt>
                      <c:pt idx="5">
                        <c:v>123039</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'Minijobs absolut'!$D$1</c15:sqref>
                        </c15:formulaRef>
                      </c:ext>
                    </c:extLst>
                    <c:strCache>
                      <c:ptCount val="1"/>
                      <c:pt idx="0">
                        <c:v>61 Jahre</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'Minijobs absolut'!$A$2:$A$7</c15:sqref>
                        </c15:formulaRef>
                      </c:ext>
                    </c:extLst>
                    <c:numCache>
                      <c:formatCode>General</c:formatCode>
                      <c:ptCount val="6"/>
                      <c:pt idx="0">
                        <c:v>2013</c:v>
                      </c:pt>
                      <c:pt idx="1">
                        <c:v>2014</c:v>
                      </c:pt>
                      <c:pt idx="2">
                        <c:v>2015</c:v>
                      </c:pt>
                      <c:pt idx="3">
                        <c:v>2016</c:v>
                      </c:pt>
                      <c:pt idx="4">
                        <c:v>2017</c:v>
                      </c:pt>
                      <c:pt idx="5">
                        <c:v>2018</c:v>
                      </c:pt>
                    </c:numCache>
                  </c:numRef>
                </c:cat>
                <c:val>
                  <c:numRef>
                    <c:extLst xmlns:c15="http://schemas.microsoft.com/office/drawing/2012/chart">
                      <c:ext xmlns:c15="http://schemas.microsoft.com/office/drawing/2012/chart" uri="{02D57815-91ED-43cb-92C2-25804820EDAC}">
                        <c15:formulaRef>
                          <c15:sqref>'Minijobs absolut'!$D$2:$D$7</c15:sqref>
                        </c15:formulaRef>
                      </c:ext>
                    </c:extLst>
                    <c:numCache>
                      <c:formatCode>#,##0</c:formatCode>
                      <c:ptCount val="6"/>
                      <c:pt idx="0">
                        <c:v>120580</c:v>
                      </c:pt>
                      <c:pt idx="1">
                        <c:v>117381</c:v>
                      </c:pt>
                      <c:pt idx="2">
                        <c:v>115875</c:v>
                      </c:pt>
                      <c:pt idx="3">
                        <c:v>116461</c:v>
                      </c:pt>
                      <c:pt idx="4">
                        <c:v>116832</c:v>
                      </c:pt>
                      <c:pt idx="5">
                        <c:v>118797</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'Minijobs absolut'!$E$1</c15:sqref>
                        </c15:formulaRef>
                      </c:ext>
                    </c:extLst>
                    <c:strCache>
                      <c:ptCount val="1"/>
                      <c:pt idx="0">
                        <c:v>62 Jahre</c:v>
                      </c:pt>
                    </c:strCache>
                  </c:strRef>
                </c:tx>
                <c:spPr>
                  <a:ln w="28575" cap="rnd">
                    <a:solidFill>
                      <a:srgbClr val="00B0F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'Minijobs absolut'!$A$2:$A$7</c15:sqref>
                        </c15:formulaRef>
                      </c:ext>
                    </c:extLst>
                    <c:numCache>
                      <c:formatCode>General</c:formatCode>
                      <c:ptCount val="6"/>
                      <c:pt idx="0">
                        <c:v>2013</c:v>
                      </c:pt>
                      <c:pt idx="1">
                        <c:v>2014</c:v>
                      </c:pt>
                      <c:pt idx="2">
                        <c:v>2015</c:v>
                      </c:pt>
                      <c:pt idx="3">
                        <c:v>2016</c:v>
                      </c:pt>
                      <c:pt idx="4">
                        <c:v>2017</c:v>
                      </c:pt>
                      <c:pt idx="5">
                        <c:v>2018</c:v>
                      </c:pt>
                    </c:numCache>
                  </c:numRef>
                </c:cat>
                <c:val>
                  <c:numRef>
                    <c:extLst xmlns:c15="http://schemas.microsoft.com/office/drawing/2012/chart">
                      <c:ext xmlns:c15="http://schemas.microsoft.com/office/drawing/2012/chart" uri="{02D57815-91ED-43cb-92C2-25804820EDAC}">
                        <c15:formulaRef>
                          <c15:sqref>'Minijobs absolut'!$E$2:$E$7</c15:sqref>
                        </c15:formulaRef>
                      </c:ext>
                    </c:extLst>
                    <c:numCache>
                      <c:formatCode>#,##0</c:formatCode>
                      <c:ptCount val="6"/>
                      <c:pt idx="0">
                        <c:v>122949</c:v>
                      </c:pt>
                      <c:pt idx="1">
                        <c:v>118006</c:v>
                      </c:pt>
                      <c:pt idx="2">
                        <c:v>116291</c:v>
                      </c:pt>
                      <c:pt idx="3">
                        <c:v>115236</c:v>
                      </c:pt>
                      <c:pt idx="4">
                        <c:v>115647</c:v>
                      </c:pt>
                      <c:pt idx="5">
                        <c:v>116305</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'Minijobs absolut'!$F$1</c15:sqref>
                        </c15:formulaRef>
                      </c:ext>
                    </c:extLst>
                    <c:strCache>
                      <c:ptCount val="1"/>
                      <c:pt idx="0">
                        <c:v>63 Jahre</c:v>
                      </c:pt>
                    </c:strCache>
                  </c:strRef>
                </c:tx>
                <c:spPr>
                  <a:ln w="28575" cap="rnd">
                    <a:solidFill>
                      <a:srgbClr val="00B05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'Minijobs absolut'!$A$2:$A$7</c15:sqref>
                        </c15:formulaRef>
                      </c:ext>
                    </c:extLst>
                    <c:numCache>
                      <c:formatCode>General</c:formatCode>
                      <c:ptCount val="6"/>
                      <c:pt idx="0">
                        <c:v>2013</c:v>
                      </c:pt>
                      <c:pt idx="1">
                        <c:v>2014</c:v>
                      </c:pt>
                      <c:pt idx="2">
                        <c:v>2015</c:v>
                      </c:pt>
                      <c:pt idx="3">
                        <c:v>2016</c:v>
                      </c:pt>
                      <c:pt idx="4">
                        <c:v>2017</c:v>
                      </c:pt>
                      <c:pt idx="5">
                        <c:v>2018</c:v>
                      </c:pt>
                    </c:numCache>
                  </c:numRef>
                </c:cat>
                <c:val>
                  <c:numRef>
                    <c:extLst xmlns:c15="http://schemas.microsoft.com/office/drawing/2012/chart">
                      <c:ext xmlns:c15="http://schemas.microsoft.com/office/drawing/2012/chart" uri="{02D57815-91ED-43cb-92C2-25804820EDAC}">
                        <c15:formulaRef>
                          <c15:sqref>'Minijobs absolut'!$F$2:$F$7</c15:sqref>
                        </c15:formulaRef>
                      </c:ext>
                    </c:extLst>
                    <c:numCache>
                      <c:formatCode>#,##0</c:formatCode>
                      <c:ptCount val="6"/>
                      <c:pt idx="0">
                        <c:v>129469</c:v>
                      </c:pt>
                      <c:pt idx="1">
                        <c:v>122009</c:v>
                      </c:pt>
                      <c:pt idx="2">
                        <c:v>144355</c:v>
                      </c:pt>
                      <c:pt idx="3">
                        <c:v>139224</c:v>
                      </c:pt>
                      <c:pt idx="4">
                        <c:v>134157</c:v>
                      </c:pt>
                      <c:pt idx="5">
                        <c:v>131121</c:v>
                      </c:pt>
                    </c:numCache>
                  </c:numRef>
                </c:val>
                <c:smooth val="0"/>
              </c15:ser>
            </c15:filteredLineSeries>
            <c15:filteredLineSeries>
              <c15:ser>
                <c:idx val="5"/>
                <c:order val="5"/>
                <c:tx>
                  <c:strRef>
                    <c:extLst xmlns:c15="http://schemas.microsoft.com/office/drawing/2012/chart">
                      <c:ext xmlns:c15="http://schemas.microsoft.com/office/drawing/2012/chart" uri="{02D57815-91ED-43cb-92C2-25804820EDAC}">
                        <c15:formulaRef>
                          <c15:sqref>'Minijobs absolut'!$G$1</c15:sqref>
                        </c15:formulaRef>
                      </c:ext>
                    </c:extLst>
                    <c:strCache>
                      <c:ptCount val="1"/>
                      <c:pt idx="0">
                        <c:v>64 Jahre</c:v>
                      </c:pt>
                    </c:strCache>
                  </c:strRef>
                </c:tx>
                <c:spPr>
                  <a:ln w="28575" cap="rnd">
                    <a:solidFill>
                      <a:srgbClr val="FFC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'Minijobs absolut'!$A$2:$A$7</c15:sqref>
                        </c15:formulaRef>
                      </c:ext>
                    </c:extLst>
                    <c:numCache>
                      <c:formatCode>General</c:formatCode>
                      <c:ptCount val="6"/>
                      <c:pt idx="0">
                        <c:v>2013</c:v>
                      </c:pt>
                      <c:pt idx="1">
                        <c:v>2014</c:v>
                      </c:pt>
                      <c:pt idx="2">
                        <c:v>2015</c:v>
                      </c:pt>
                      <c:pt idx="3">
                        <c:v>2016</c:v>
                      </c:pt>
                      <c:pt idx="4">
                        <c:v>2017</c:v>
                      </c:pt>
                      <c:pt idx="5">
                        <c:v>2018</c:v>
                      </c:pt>
                    </c:numCache>
                  </c:numRef>
                </c:cat>
                <c:val>
                  <c:numRef>
                    <c:extLst xmlns:c15="http://schemas.microsoft.com/office/drawing/2012/chart">
                      <c:ext xmlns:c15="http://schemas.microsoft.com/office/drawing/2012/chart" uri="{02D57815-91ED-43cb-92C2-25804820EDAC}">
                        <c15:formulaRef>
                          <c15:sqref>'Minijobs absolut'!$G$2:$G$7</c15:sqref>
                        </c15:formulaRef>
                      </c:ext>
                    </c:extLst>
                    <c:numCache>
                      <c:formatCode>#,##0</c:formatCode>
                      <c:ptCount val="6"/>
                      <c:pt idx="0">
                        <c:v>125173</c:v>
                      </c:pt>
                      <c:pt idx="1">
                        <c:v>133144</c:v>
                      </c:pt>
                      <c:pt idx="2">
                        <c:v>146145</c:v>
                      </c:pt>
                      <c:pt idx="3">
                        <c:v>153891</c:v>
                      </c:pt>
                      <c:pt idx="4">
                        <c:v>154200</c:v>
                      </c:pt>
                      <c:pt idx="5">
                        <c:v>154105</c:v>
                      </c:pt>
                    </c:numCache>
                  </c:numRef>
                </c:val>
                <c:smooth val="0"/>
              </c15:ser>
            </c15:filteredLineSeries>
            <c15:filteredLineSeries>
              <c15:ser>
                <c:idx val="6"/>
                <c:order val="6"/>
                <c:tx>
                  <c:strRef>
                    <c:extLst xmlns:c15="http://schemas.microsoft.com/office/drawing/2012/chart">
                      <c:ext xmlns:c15="http://schemas.microsoft.com/office/drawing/2012/chart" uri="{02D57815-91ED-43cb-92C2-25804820EDAC}">
                        <c15:formulaRef>
                          <c15:sqref>'Minijobs absolut'!$H$1</c15:sqref>
                        </c15:formulaRef>
                      </c:ext>
                    </c:extLst>
                    <c:strCache>
                      <c:ptCount val="1"/>
                      <c:pt idx="0">
                        <c:v>65 Jahre</c:v>
                      </c:pt>
                    </c:strCache>
                  </c:strRef>
                </c:tx>
                <c:spPr>
                  <a:ln w="28575" cap="rnd">
                    <a:solidFill>
                      <a:schemeClr val="bg2">
                        <a:lumMod val="2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'Minijobs absolut'!$A$2:$A$7</c15:sqref>
                        </c15:formulaRef>
                      </c:ext>
                    </c:extLst>
                    <c:numCache>
                      <c:formatCode>General</c:formatCode>
                      <c:ptCount val="6"/>
                      <c:pt idx="0">
                        <c:v>2013</c:v>
                      </c:pt>
                      <c:pt idx="1">
                        <c:v>2014</c:v>
                      </c:pt>
                      <c:pt idx="2">
                        <c:v>2015</c:v>
                      </c:pt>
                      <c:pt idx="3">
                        <c:v>2016</c:v>
                      </c:pt>
                      <c:pt idx="4">
                        <c:v>2017</c:v>
                      </c:pt>
                      <c:pt idx="5">
                        <c:v>2018</c:v>
                      </c:pt>
                    </c:numCache>
                  </c:numRef>
                </c:cat>
                <c:val>
                  <c:numRef>
                    <c:extLst xmlns:c15="http://schemas.microsoft.com/office/drawing/2012/chart">
                      <c:ext xmlns:c15="http://schemas.microsoft.com/office/drawing/2012/chart" uri="{02D57815-91ED-43cb-92C2-25804820EDAC}">
                        <c15:formulaRef>
                          <c15:sqref>'Minijobs absolut'!$H$2:$H$7</c15:sqref>
                        </c15:formulaRef>
                      </c:ext>
                    </c:extLst>
                    <c:numCache>
                      <c:formatCode>#,##0</c:formatCode>
                      <c:ptCount val="6"/>
                      <c:pt idx="0">
                        <c:v>113846</c:v>
                      </c:pt>
                      <c:pt idx="1">
                        <c:v>130580</c:v>
                      </c:pt>
                      <c:pt idx="2">
                        <c:v>138695</c:v>
                      </c:pt>
                      <c:pt idx="3">
                        <c:v>146609</c:v>
                      </c:pt>
                      <c:pt idx="4">
                        <c:v>152511</c:v>
                      </c:pt>
                      <c:pt idx="5">
                        <c:v>152628</c:v>
                      </c:pt>
                    </c:numCache>
                  </c:numRef>
                </c:val>
                <c:smooth val="0"/>
              </c15:ser>
            </c15:filteredLineSeries>
          </c:ext>
        </c:extLst>
      </c:lineChart>
      <c:catAx>
        <c:axId val="63740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de-DE"/>
          </a:p>
        </c:txPr>
        <c:crossAx val="637407848"/>
        <c:crosses val="autoZero"/>
        <c:auto val="1"/>
        <c:lblAlgn val="ctr"/>
        <c:lblOffset val="100"/>
        <c:noMultiLvlLbl val="0"/>
      </c:catAx>
      <c:valAx>
        <c:axId val="637407848"/>
        <c:scaling>
          <c:orientation val="minMax"/>
          <c:max val="470000"/>
          <c:min val="35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de-DE"/>
          </a:p>
        </c:txPr>
        <c:crossAx val="637407456"/>
        <c:crosses val="autoZero"/>
        <c:crossBetween val="between"/>
        <c:minorUnit val="1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mn-lt"/>
                <a:ea typeface="+mj-ea"/>
                <a:cs typeface="+mj-cs"/>
              </a:defRPr>
            </a:pPr>
            <a:r>
              <a:rPr lang="en-US" sz="1200">
                <a:latin typeface="+mn-lt"/>
              </a:rPr>
              <a:t>Anteil der MinijobberInnen an allen Erwerbspersonen der Altersgruppe, 2017</a:t>
            </a:r>
            <a:endParaRPr lang="de-DE" sz="1200">
              <a:latin typeface="+mn-lt"/>
            </a:endParaRPr>
          </a:p>
        </c:rich>
      </c:tx>
      <c:layout/>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mn-lt"/>
              <a:ea typeface="+mj-ea"/>
              <a:cs typeface="+mj-cs"/>
            </a:defRPr>
          </a:pPr>
          <a:endParaRPr lang="de-DE"/>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'Minijobs, Anteil, Erwerbsp.'!$A$2:$A$12</c:f>
              <c:strCache>
                <c:ptCount val="11"/>
                <c:pt idx="0">
                  <c:v>55 Jahre</c:v>
                </c:pt>
                <c:pt idx="1">
                  <c:v>56 Jahre</c:v>
                </c:pt>
                <c:pt idx="2">
                  <c:v>57 Jahre</c:v>
                </c:pt>
                <c:pt idx="3">
                  <c:v>58 Jahre</c:v>
                </c:pt>
                <c:pt idx="4">
                  <c:v>59 Jahre</c:v>
                </c:pt>
                <c:pt idx="5">
                  <c:v>60 Jahre</c:v>
                </c:pt>
                <c:pt idx="6">
                  <c:v>61 Jahre </c:v>
                </c:pt>
                <c:pt idx="7">
                  <c:v>62 Jahre</c:v>
                </c:pt>
                <c:pt idx="8">
                  <c:v>63 Jahre</c:v>
                </c:pt>
                <c:pt idx="9">
                  <c:v>64 Jahre</c:v>
                </c:pt>
                <c:pt idx="10">
                  <c:v>65 Jahre</c:v>
                </c:pt>
              </c:strCache>
            </c:strRef>
          </c:cat>
          <c:val>
            <c:numRef>
              <c:f>'Minijobs, Anteil, Erwerbsp.'!$B$2:$B$12</c:f>
              <c:numCache>
                <c:formatCode>0.0%</c:formatCode>
                <c:ptCount val="11"/>
                <c:pt idx="0">
                  <c:v>0.13200000000000001</c:v>
                </c:pt>
                <c:pt idx="1">
                  <c:v>0.13300000000000001</c:v>
                </c:pt>
                <c:pt idx="2">
                  <c:v>0.13800000000000001</c:v>
                </c:pt>
                <c:pt idx="3">
                  <c:v>0.13600000000000001</c:v>
                </c:pt>
                <c:pt idx="4">
                  <c:v>0.13700000000000001</c:v>
                </c:pt>
                <c:pt idx="5">
                  <c:v>0.13900000000000001</c:v>
                </c:pt>
                <c:pt idx="6">
                  <c:v>0.14799999999999999</c:v>
                </c:pt>
                <c:pt idx="7">
                  <c:v>0.16</c:v>
                </c:pt>
                <c:pt idx="8">
                  <c:v>0.27200000000000002</c:v>
                </c:pt>
                <c:pt idx="9">
                  <c:v>0.42799999999999999</c:v>
                </c:pt>
                <c:pt idx="10">
                  <c:v>0.64100000000000001</c:v>
                </c:pt>
              </c:numCache>
            </c:numRef>
          </c:val>
        </c:ser>
        <c:dLbls>
          <c:showLegendKey val="0"/>
          <c:showVal val="0"/>
          <c:showCatName val="0"/>
          <c:showSerName val="0"/>
          <c:showPercent val="0"/>
          <c:showBubbleSize val="0"/>
        </c:dLbls>
        <c:gapWidth val="80"/>
        <c:overlap val="25"/>
        <c:axId val="637409024"/>
        <c:axId val="637409416"/>
      </c:barChart>
      <c:catAx>
        <c:axId val="63740902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cap="none" spc="20" normalizeH="0" baseline="0">
                <a:solidFill>
                  <a:schemeClr val="tx1">
                    <a:lumMod val="65000"/>
                    <a:lumOff val="35000"/>
                  </a:schemeClr>
                </a:solidFill>
                <a:latin typeface="+mn-lt"/>
                <a:ea typeface="+mn-ea"/>
                <a:cs typeface="+mn-cs"/>
              </a:defRPr>
            </a:pPr>
            <a:endParaRPr lang="de-DE"/>
          </a:p>
        </c:txPr>
        <c:crossAx val="637409416"/>
        <c:crosses val="autoZero"/>
        <c:auto val="1"/>
        <c:lblAlgn val="ctr"/>
        <c:lblOffset val="100"/>
        <c:noMultiLvlLbl val="0"/>
      </c:catAx>
      <c:valAx>
        <c:axId val="637409416"/>
        <c:scaling>
          <c:orientation val="minMax"/>
        </c:scaling>
        <c:delete val="1"/>
        <c:axPos val="l"/>
        <c:majorGridlines>
          <c:spPr>
            <a:ln w="9525" cap="flat" cmpd="sng" algn="ctr">
              <a:solidFill>
                <a:schemeClr val="tx1">
                  <a:lumMod val="5000"/>
                  <a:lumOff val="95000"/>
                </a:schemeClr>
              </a:solidFill>
              <a:round/>
            </a:ln>
            <a:effectLst/>
          </c:spPr>
        </c:majorGridlines>
        <c:numFmt formatCode="0.0%" sourceLinked="1"/>
        <c:majorTickMark val="none"/>
        <c:minorTickMark val="none"/>
        <c:tickLblPos val="nextTo"/>
        <c:crossAx val="63740902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j-lt"/>
                <a:ea typeface="+mn-ea"/>
                <a:cs typeface="+mn-cs"/>
              </a:defRPr>
            </a:pPr>
            <a:r>
              <a:rPr lang="en-US" sz="1200">
                <a:latin typeface="+mj-lt"/>
              </a:rPr>
              <a:t>Anteil</a:t>
            </a:r>
            <a:r>
              <a:rPr lang="en-US" sz="1200" baseline="0">
                <a:latin typeface="+mj-lt"/>
              </a:rPr>
              <a:t> der atypisch Beschäftigten an allen abhängig beschäftigten Kernerwerbstätigen der jeweiligen Altersgruppe, 2017</a:t>
            </a:r>
            <a:endParaRPr lang="en-US" sz="1200">
              <a:latin typeface="+mj-l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j-lt"/>
              <a:ea typeface="+mn-ea"/>
              <a:cs typeface="+mn-cs"/>
            </a:defRPr>
          </a:pPr>
          <a:endParaRPr lang="de-DE"/>
        </a:p>
      </c:txPr>
    </c:title>
    <c:autoTitleDeleted val="0"/>
    <c:plotArea>
      <c:layout/>
      <c:barChart>
        <c:barDir val="col"/>
        <c:grouping val="clustered"/>
        <c:varyColors val="0"/>
        <c:ser>
          <c:idx val="0"/>
          <c:order val="0"/>
          <c:tx>
            <c:strRef>
              <c:f>'atypisch II'!$A$2</c:f>
              <c:strCache>
                <c:ptCount val="1"/>
                <c:pt idx="0">
                  <c:v>Frauen </c:v>
                </c:pt>
              </c:strCache>
            </c:strRef>
          </c:tx>
          <c:spPr>
            <a:solidFill>
              <a:schemeClr val="accent6"/>
            </a:solidFill>
            <a:ln>
              <a:noFill/>
            </a:ln>
            <a:effectLst/>
          </c:spPr>
          <c:invertIfNegative val="0"/>
          <c:cat>
            <c:strRef>
              <c:f>'atypisch II'!$B$1:$K$1</c:f>
              <c:strCache>
                <c:ptCount val="10"/>
                <c:pt idx="0">
                  <c:v>55 Jahre</c:v>
                </c:pt>
                <c:pt idx="1">
                  <c:v>56 Jahre</c:v>
                </c:pt>
                <c:pt idx="2">
                  <c:v>57 Jahre</c:v>
                </c:pt>
                <c:pt idx="3">
                  <c:v>58 Jahre</c:v>
                </c:pt>
                <c:pt idx="4">
                  <c:v>59 Jahre</c:v>
                </c:pt>
                <c:pt idx="5">
                  <c:v>60 Jahre</c:v>
                </c:pt>
                <c:pt idx="6">
                  <c:v>61 Jahre </c:v>
                </c:pt>
                <c:pt idx="7">
                  <c:v>62 Jahre</c:v>
                </c:pt>
                <c:pt idx="8">
                  <c:v>63 Jahre</c:v>
                </c:pt>
                <c:pt idx="9">
                  <c:v>64 Jahre</c:v>
                </c:pt>
              </c:strCache>
            </c:strRef>
          </c:cat>
          <c:val>
            <c:numRef>
              <c:f>'atypisch II'!$B$2:$K$2</c:f>
              <c:numCache>
                <c:formatCode>0.0%</c:formatCode>
                <c:ptCount val="10"/>
                <c:pt idx="0">
                  <c:v>0.30599999999999999</c:v>
                </c:pt>
                <c:pt idx="1">
                  <c:v>0.33</c:v>
                </c:pt>
                <c:pt idx="2">
                  <c:v>0.33100000000000002</c:v>
                </c:pt>
                <c:pt idx="3">
                  <c:v>0.32800000000000001</c:v>
                </c:pt>
                <c:pt idx="4">
                  <c:v>0.34</c:v>
                </c:pt>
                <c:pt idx="5">
                  <c:v>0.32</c:v>
                </c:pt>
                <c:pt idx="6">
                  <c:v>0.34200000000000003</c:v>
                </c:pt>
                <c:pt idx="7">
                  <c:v>0.34100000000000003</c:v>
                </c:pt>
                <c:pt idx="8">
                  <c:v>0.40200000000000002</c:v>
                </c:pt>
                <c:pt idx="9">
                  <c:v>0.53600000000000003</c:v>
                </c:pt>
              </c:numCache>
            </c:numRef>
          </c:val>
        </c:ser>
        <c:ser>
          <c:idx val="1"/>
          <c:order val="1"/>
          <c:tx>
            <c:strRef>
              <c:f>'atypisch II'!$A$3</c:f>
              <c:strCache>
                <c:ptCount val="1"/>
                <c:pt idx="0">
                  <c:v>Männer</c:v>
                </c:pt>
              </c:strCache>
            </c:strRef>
          </c:tx>
          <c:spPr>
            <a:solidFill>
              <a:schemeClr val="accent5"/>
            </a:solidFill>
            <a:ln>
              <a:noFill/>
            </a:ln>
            <a:effectLst/>
          </c:spPr>
          <c:invertIfNegative val="0"/>
          <c:cat>
            <c:strRef>
              <c:f>'atypisch II'!$B$1:$K$1</c:f>
              <c:strCache>
                <c:ptCount val="10"/>
                <c:pt idx="0">
                  <c:v>55 Jahre</c:v>
                </c:pt>
                <c:pt idx="1">
                  <c:v>56 Jahre</c:v>
                </c:pt>
                <c:pt idx="2">
                  <c:v>57 Jahre</c:v>
                </c:pt>
                <c:pt idx="3">
                  <c:v>58 Jahre</c:v>
                </c:pt>
                <c:pt idx="4">
                  <c:v>59 Jahre</c:v>
                </c:pt>
                <c:pt idx="5">
                  <c:v>60 Jahre</c:v>
                </c:pt>
                <c:pt idx="6">
                  <c:v>61 Jahre </c:v>
                </c:pt>
                <c:pt idx="7">
                  <c:v>62 Jahre</c:v>
                </c:pt>
                <c:pt idx="8">
                  <c:v>63 Jahre</c:v>
                </c:pt>
                <c:pt idx="9">
                  <c:v>64 Jahre</c:v>
                </c:pt>
              </c:strCache>
            </c:strRef>
          </c:cat>
          <c:val>
            <c:numRef>
              <c:f>'atypisch II'!$B$3:$K$3</c:f>
              <c:numCache>
                <c:formatCode>0.0%</c:formatCode>
                <c:ptCount val="10"/>
                <c:pt idx="0">
                  <c:v>9.0999999999999998E-2</c:v>
                </c:pt>
                <c:pt idx="1">
                  <c:v>9.9000000000000005E-2</c:v>
                </c:pt>
                <c:pt idx="2">
                  <c:v>9.6000000000000002E-2</c:v>
                </c:pt>
                <c:pt idx="3">
                  <c:v>0.10100000000000001</c:v>
                </c:pt>
                <c:pt idx="4">
                  <c:v>0.112</c:v>
                </c:pt>
                <c:pt idx="5">
                  <c:v>0.113</c:v>
                </c:pt>
                <c:pt idx="6">
                  <c:v>0.126</c:v>
                </c:pt>
                <c:pt idx="7">
                  <c:v>0.13600000000000001</c:v>
                </c:pt>
                <c:pt idx="8">
                  <c:v>0.222</c:v>
                </c:pt>
                <c:pt idx="9">
                  <c:v>0.33400000000000002</c:v>
                </c:pt>
              </c:numCache>
            </c:numRef>
          </c:val>
        </c:ser>
        <c:ser>
          <c:idx val="2"/>
          <c:order val="2"/>
          <c:tx>
            <c:strRef>
              <c:f>'atypisch II'!$A$4</c:f>
              <c:strCache>
                <c:ptCount val="1"/>
                <c:pt idx="0">
                  <c:v>Gesamt</c:v>
                </c:pt>
              </c:strCache>
            </c:strRef>
          </c:tx>
          <c:spPr>
            <a:solidFill>
              <a:schemeClr val="bg2">
                <a:lumMod val="50000"/>
              </a:schemeClr>
            </a:solidFill>
            <a:ln>
              <a:solidFill>
                <a:schemeClr val="bg2">
                  <a:lumMod val="50000"/>
                </a:schemeClr>
              </a:solidFill>
            </a:ln>
            <a:effectLst/>
          </c:spPr>
          <c:invertIfNegative val="0"/>
          <c:cat>
            <c:strRef>
              <c:f>'atypisch II'!$B$1:$K$1</c:f>
              <c:strCache>
                <c:ptCount val="10"/>
                <c:pt idx="0">
                  <c:v>55 Jahre</c:v>
                </c:pt>
                <c:pt idx="1">
                  <c:v>56 Jahre</c:v>
                </c:pt>
                <c:pt idx="2">
                  <c:v>57 Jahre</c:v>
                </c:pt>
                <c:pt idx="3">
                  <c:v>58 Jahre</c:v>
                </c:pt>
                <c:pt idx="4">
                  <c:v>59 Jahre</c:v>
                </c:pt>
                <c:pt idx="5">
                  <c:v>60 Jahre</c:v>
                </c:pt>
                <c:pt idx="6">
                  <c:v>61 Jahre </c:v>
                </c:pt>
                <c:pt idx="7">
                  <c:v>62 Jahre</c:v>
                </c:pt>
                <c:pt idx="8">
                  <c:v>63 Jahre</c:v>
                </c:pt>
                <c:pt idx="9">
                  <c:v>64 Jahre</c:v>
                </c:pt>
              </c:strCache>
            </c:strRef>
          </c:cat>
          <c:val>
            <c:numRef>
              <c:f>'atypisch II'!$B$4:$K$4</c:f>
              <c:numCache>
                <c:formatCode>0.0%</c:formatCode>
                <c:ptCount val="10"/>
                <c:pt idx="0">
                  <c:v>0.19500000000000001</c:v>
                </c:pt>
                <c:pt idx="1">
                  <c:v>0.21299999999999999</c:v>
                </c:pt>
                <c:pt idx="2">
                  <c:v>0.20899999999999999</c:v>
                </c:pt>
                <c:pt idx="3">
                  <c:v>0.214</c:v>
                </c:pt>
                <c:pt idx="4">
                  <c:v>0.22600000000000001</c:v>
                </c:pt>
                <c:pt idx="5">
                  <c:v>0.217</c:v>
                </c:pt>
                <c:pt idx="6">
                  <c:v>0.23200000000000001</c:v>
                </c:pt>
                <c:pt idx="7">
                  <c:v>0.23799999999999999</c:v>
                </c:pt>
                <c:pt idx="8">
                  <c:v>0.31</c:v>
                </c:pt>
                <c:pt idx="9">
                  <c:v>0.42899999999999999</c:v>
                </c:pt>
              </c:numCache>
            </c:numRef>
          </c:val>
        </c:ser>
        <c:dLbls>
          <c:showLegendKey val="0"/>
          <c:showVal val="0"/>
          <c:showCatName val="0"/>
          <c:showSerName val="0"/>
          <c:showPercent val="0"/>
          <c:showBubbleSize val="0"/>
        </c:dLbls>
        <c:gapWidth val="219"/>
        <c:overlap val="-27"/>
        <c:axId val="637410200"/>
        <c:axId val="638199512"/>
      </c:barChart>
      <c:catAx>
        <c:axId val="637410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crossAx val="638199512"/>
        <c:crosses val="autoZero"/>
        <c:auto val="1"/>
        <c:lblAlgn val="ctr"/>
        <c:lblOffset val="100"/>
        <c:noMultiLvlLbl val="0"/>
      </c:catAx>
      <c:valAx>
        <c:axId val="6381995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crossAx val="6374102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de-D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de-DE" sz="1200"/>
              <a:t>Anteil der 55-65 jährigen Arbeitslosen an allen Arbeitslosen</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Arbeitslose!$B$1</c:f>
              <c:strCache>
                <c:ptCount val="1"/>
                <c:pt idx="0">
                  <c:v>Insgesamt</c:v>
                </c:pt>
              </c:strCache>
            </c:strRef>
          </c:tx>
          <c:spPr>
            <a:solidFill>
              <a:schemeClr val="tx1">
                <a:lumMod val="65000"/>
                <a:lumOff val="35000"/>
              </a:schemeClr>
            </a:solidFill>
            <a:ln>
              <a:solidFill>
                <a:schemeClr val="tx1">
                  <a:lumMod val="75000"/>
                  <a:lumOff val="25000"/>
                </a:schemeClr>
              </a:solidFill>
            </a:ln>
            <a:effectLst/>
          </c:spPr>
          <c:invertIfNegative val="0"/>
          <c:dLbls>
            <c:spPr>
              <a:noFill/>
              <a:ln>
                <a:noFill/>
              </a:ln>
              <a:effectLst/>
            </c:spPr>
            <c:txPr>
              <a:bodyPr rot="-5400000" spcFirstLastPara="1" vertOverflow="ellipsis" wrap="square" lIns="38100" tIns="19050" rIns="38100" bIns="19050" anchor="b" anchorCtr="0">
                <a:spAutoFit/>
              </a:bodyPr>
              <a:lstStyle/>
              <a:p>
                <a:pPr>
                  <a:defRPr sz="1000" b="0" i="0" u="none" strike="noStrike" kern="1200" baseline="0">
                    <a:solidFill>
                      <a:schemeClr val="tx1">
                        <a:lumMod val="75000"/>
                        <a:lumOff val="25000"/>
                      </a:schemeClr>
                    </a:solidFill>
                    <a:latin typeface="+mj-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Arbeitslose!$A$2:$A$8</c:f>
              <c:numCache>
                <c:formatCode>General</c:formatCode>
                <c:ptCount val="7"/>
                <c:pt idx="0">
                  <c:v>2012</c:v>
                </c:pt>
                <c:pt idx="1">
                  <c:v>2013</c:v>
                </c:pt>
                <c:pt idx="2">
                  <c:v>2014</c:v>
                </c:pt>
                <c:pt idx="3">
                  <c:v>2015</c:v>
                </c:pt>
                <c:pt idx="4">
                  <c:v>2016</c:v>
                </c:pt>
                <c:pt idx="5">
                  <c:v>2017</c:v>
                </c:pt>
                <c:pt idx="6">
                  <c:v>2018</c:v>
                </c:pt>
              </c:numCache>
            </c:numRef>
          </c:cat>
          <c:val>
            <c:numRef>
              <c:f>Arbeitslose!$B$2:$B$8</c:f>
              <c:numCache>
                <c:formatCode>0.0%</c:formatCode>
                <c:ptCount val="7"/>
                <c:pt idx="0">
                  <c:v>0.188</c:v>
                </c:pt>
                <c:pt idx="1">
                  <c:v>0.19400000000000001</c:v>
                </c:pt>
                <c:pt idx="2">
                  <c:v>0.20200000000000001</c:v>
                </c:pt>
                <c:pt idx="3">
                  <c:v>0.20499999999999999</c:v>
                </c:pt>
                <c:pt idx="4">
                  <c:v>0.20599999999999999</c:v>
                </c:pt>
                <c:pt idx="5">
                  <c:v>0.20899999999999999</c:v>
                </c:pt>
                <c:pt idx="6">
                  <c:v>0.216</c:v>
                </c:pt>
              </c:numCache>
            </c:numRef>
          </c:val>
        </c:ser>
        <c:ser>
          <c:idx val="1"/>
          <c:order val="1"/>
          <c:tx>
            <c:strRef>
              <c:f>Arbeitslose!$C$1</c:f>
              <c:strCache>
                <c:ptCount val="1"/>
                <c:pt idx="0">
                  <c:v>Ostdeutsche Frauen</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mj-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Arbeitslose!$A$2:$A$8</c:f>
              <c:numCache>
                <c:formatCode>General</c:formatCode>
                <c:ptCount val="7"/>
                <c:pt idx="0">
                  <c:v>2012</c:v>
                </c:pt>
                <c:pt idx="1">
                  <c:v>2013</c:v>
                </c:pt>
                <c:pt idx="2">
                  <c:v>2014</c:v>
                </c:pt>
                <c:pt idx="3">
                  <c:v>2015</c:v>
                </c:pt>
                <c:pt idx="4">
                  <c:v>2016</c:v>
                </c:pt>
                <c:pt idx="5">
                  <c:v>2017</c:v>
                </c:pt>
                <c:pt idx="6">
                  <c:v>2018</c:v>
                </c:pt>
              </c:numCache>
            </c:numRef>
          </c:cat>
          <c:val>
            <c:numRef>
              <c:f>Arbeitslose!$C$2:$C$8</c:f>
              <c:numCache>
                <c:formatCode>0.0%</c:formatCode>
                <c:ptCount val="7"/>
                <c:pt idx="0">
                  <c:v>0.20200000000000001</c:v>
                </c:pt>
                <c:pt idx="1">
                  <c:v>0.216</c:v>
                </c:pt>
                <c:pt idx="2">
                  <c:v>0.22800000000000001</c:v>
                </c:pt>
                <c:pt idx="3">
                  <c:v>0.23599999999999999</c:v>
                </c:pt>
                <c:pt idx="4">
                  <c:v>0.23799999999999999</c:v>
                </c:pt>
                <c:pt idx="5">
                  <c:v>0.23899999999999999</c:v>
                </c:pt>
                <c:pt idx="6">
                  <c:v>0.246</c:v>
                </c:pt>
              </c:numCache>
            </c:numRef>
          </c:val>
        </c:ser>
        <c:dLbls>
          <c:dLblPos val="outEnd"/>
          <c:showLegendKey val="0"/>
          <c:showVal val="1"/>
          <c:showCatName val="0"/>
          <c:showSerName val="0"/>
          <c:showPercent val="0"/>
          <c:showBubbleSize val="0"/>
        </c:dLbls>
        <c:gapWidth val="219"/>
        <c:overlap val="-27"/>
        <c:axId val="637408632"/>
        <c:axId val="638200688"/>
      </c:barChart>
      <c:catAx>
        <c:axId val="637408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de-DE"/>
          </a:p>
        </c:txPr>
        <c:crossAx val="638200688"/>
        <c:crosses val="autoZero"/>
        <c:auto val="1"/>
        <c:lblAlgn val="ctr"/>
        <c:lblOffset val="100"/>
        <c:noMultiLvlLbl val="0"/>
      </c:catAx>
      <c:valAx>
        <c:axId val="638200688"/>
        <c:scaling>
          <c:orientation val="minMax"/>
          <c:min val="0.14000000000000001"/>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637408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de-DE" sz="1200" b="0"/>
              <a:t>Abgänge aus Arbeitslosigkeit, 55-65-Jährige, 2018 </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de-DE"/>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Pt>
            <c:idx val="2"/>
            <c:bubble3D val="0"/>
            <c:spPr>
              <a:solidFill>
                <a:schemeClr val="accent4"/>
              </a:solidFill>
              <a:ln>
                <a:noFill/>
              </a:ln>
              <a:effectLst>
                <a:outerShdw blurRad="254000" sx="102000" sy="102000" algn="ctr" rotWithShape="0">
                  <a:prstClr val="black">
                    <a:alpha val="20000"/>
                  </a:prstClr>
                </a:outerShdw>
              </a:effectLst>
              <a:sp3d/>
            </c:spPr>
          </c:dPt>
          <c:dPt>
            <c:idx val="3"/>
            <c:bubble3D val="0"/>
            <c:spPr>
              <a:solidFill>
                <a:schemeClr val="bg1">
                  <a:lumMod val="50000"/>
                </a:schemeClr>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de-DE"/>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'Abgänge aus Arbeitslosigkeit'!$A$1:$A$4</c:f>
              <c:strCache>
                <c:ptCount val="4"/>
                <c:pt idx="0">
                  <c:v>Erwerbstätigkeit</c:v>
                </c:pt>
                <c:pt idx="1">
                  <c:v>arbeitsmarktpolitische Maßnahme/sonstige Ausbildung</c:v>
                </c:pt>
                <c:pt idx="2">
                  <c:v>Nicht-Erwerbstätigkeit</c:v>
                </c:pt>
                <c:pt idx="3">
                  <c:v>keine Angabe</c:v>
                </c:pt>
              </c:strCache>
            </c:strRef>
          </c:cat>
          <c:val>
            <c:numRef>
              <c:f>'Abgänge aus Arbeitslosigkeit'!$B$1:$B$4</c:f>
              <c:numCache>
                <c:formatCode>0.0%</c:formatCode>
                <c:ptCount val="4"/>
                <c:pt idx="0">
                  <c:v>0.24399999999999999</c:v>
                </c:pt>
                <c:pt idx="1">
                  <c:v>0.13700000000000001</c:v>
                </c:pt>
                <c:pt idx="2">
                  <c:v>0.55700000000000005</c:v>
                </c:pt>
                <c:pt idx="3">
                  <c:v>6.2E-2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1.2635608048993878E-2"/>
          <c:y val="0.71675925925925921"/>
          <c:w val="0.60250656167978989"/>
          <c:h val="0.26909886264216976"/>
        </c:manualLayout>
      </c:layout>
      <c:overlay val="1"/>
      <c:spPr>
        <a:solidFill>
          <a:schemeClr val="bg1">
            <a:lumMod val="85000"/>
            <a:alpha val="84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de-D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149C0-07D0-4740-8C77-8F5AA009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1195</Words>
  <Characters>7535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Wöhler</dc:creator>
  <cp:keywords/>
  <dc:description/>
  <cp:lastModifiedBy>Christian Wöhler</cp:lastModifiedBy>
  <cp:revision>296</cp:revision>
  <cp:lastPrinted>2019-02-06T08:38:00Z</cp:lastPrinted>
  <dcterms:created xsi:type="dcterms:W3CDTF">2019-02-05T09:18:00Z</dcterms:created>
  <dcterms:modified xsi:type="dcterms:W3CDTF">2019-02-07T07:56:00Z</dcterms:modified>
</cp:coreProperties>
</file>